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4" w:rsidRDefault="006175F1" w:rsidP="006175F1">
      <w:pPr>
        <w:jc w:val="center"/>
        <w:rPr>
          <w:rFonts w:ascii="Times New Roman" w:hAnsi="Times New Roman" w:cs="Times New Roman"/>
        </w:rPr>
      </w:pPr>
      <w:r w:rsidRPr="006175F1">
        <w:rPr>
          <w:rFonts w:ascii="Times New Roman" w:hAnsi="Times New Roman" w:cs="Times New Roman"/>
        </w:rPr>
        <w:t>ТЕХНИЧЕСКОЕ ЗАДАНИЕ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992"/>
        <w:gridCol w:w="992"/>
      </w:tblGrid>
      <w:tr w:rsidR="006175F1" w:rsidRPr="006175F1" w:rsidTr="006175F1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F1" w:rsidRPr="006175F1" w:rsidRDefault="006175F1" w:rsidP="00617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6175F1" w:rsidRPr="006175F1" w:rsidTr="006175F1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инвалида протезом голени модульным, в том числе при недоразвитии, с модулем стопы с микропроцессорным управлением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инвалида, содержащие технические решения, в том числе специальные, используемые для компенсации или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устранения стойких ограничений жизнедеятельности инвалида.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инвалида протезом должны содержать комплекс медицинских, технических и социальных мероприятий проводимых с инвалидом,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</w:t>
            </w:r>
            <w:r w:rsidRPr="006175F1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должна</w:t>
            </w:r>
            <w:r w:rsidRPr="006175F1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 должен отвечать требованиям п. 2.2 Национального стандарта 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  «Протезирование и </w:t>
            </w:r>
            <w:proofErr w:type="spell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 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58447-2019 «Протезы нижних конечностей с внешним источником энергии. Общие технические требования».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испытаний», 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53869-2021 «Протезы нижних конечностей. Технические требования», </w:t>
            </w:r>
            <w:r w:rsidRPr="006175F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ГОСТ </w:t>
            </w:r>
            <w:proofErr w:type="gramStart"/>
            <w:r w:rsidRPr="006175F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51191-2019 «Узлы протезов нижних конечностей. Технические требования и методы испытаний»</w:t>
            </w: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», ГОСТ ISO 10993-10-2011 «Изделия медицинские. Оценка биологического действия медицинских изделий. Часть 10. </w:t>
            </w:r>
            <w:r w:rsidRPr="006175F1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Исследования раздражающего и сенсибилизирующего действия</w:t>
            </w: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инвалида протезом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24 месяцев от даты подписания Акта сдачи-приемки работ Получателем.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течение гарантийного срока все расходы, связанные с текущим обслуживанием, ремонтом и </w:t>
            </w: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заменой (в случае невозможности ремонта) Изделия, несет Подрядчик.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Срок выполнения работ - не более 30 календарных дней со дня получения Подрядчиком реестра Получателей Изделий.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Требования к маркировке, упаковке и отгрузке протезов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 должен иметь этикетку. </w:t>
            </w:r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этикетке должны быть указаны ссылки на соответствующие стандар</w:t>
            </w:r>
            <w:proofErr w:type="gramStart"/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т(</w:t>
            </w:r>
            <w:proofErr w:type="gramEnd"/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ы) и/или технический(</w:t>
            </w:r>
            <w:proofErr w:type="spellStart"/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ие</w:t>
            </w:r>
            <w:proofErr w:type="spellEnd"/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) документ(ы), а также условия </w:t>
            </w:r>
            <w:proofErr w:type="spellStart"/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нагружения</w:t>
            </w:r>
            <w:proofErr w:type="spellEnd"/>
            <w:r w:rsidRPr="006175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6175F1" w:rsidRPr="006175F1" w:rsidRDefault="006175F1" w:rsidP="006175F1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6175F1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6175F1" w:rsidRPr="006175F1" w:rsidRDefault="006175F1" w:rsidP="006175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6175F1">
              <w:rPr>
                <w:rFonts w:ascii="Times New Roman" w:eastAsia="Calibri" w:hAnsi="Times New Roman" w:cs="Times New Roman"/>
                <w:iCs/>
                <w:lang w:eastAsia="ru-RU"/>
              </w:rPr>
              <w:t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нахождения, организованног</w:t>
            </w:r>
            <w:proofErr w:type="gramStart"/>
            <w:r w:rsidRPr="006175F1">
              <w:rPr>
                <w:rFonts w:ascii="Times New Roman" w:eastAsia="Calibri" w:hAnsi="Times New Roman" w:cs="Times New Roman"/>
                <w:iCs/>
                <w:lang w:eastAsia="ru-RU"/>
              </w:rPr>
              <w:t>о(</w:t>
            </w:r>
            <w:proofErr w:type="gramEnd"/>
            <w:r w:rsidRPr="006175F1">
              <w:rPr>
                <w:rFonts w:ascii="Times New Roman" w:eastAsia="Calibri" w:hAnsi="Times New Roman" w:cs="Times New Roman"/>
                <w:iCs/>
                <w:lang w:eastAsia="ru-RU"/>
              </w:rPr>
              <w:t>-ых) Подрядчиком пунктов приема на территории г. Рязани и Рязанской области  (по выбору Получателя).</w:t>
            </w:r>
          </w:p>
          <w:p w:rsidR="006175F1" w:rsidRPr="006175F1" w:rsidRDefault="006175F1" w:rsidP="006175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6175F1">
              <w:rPr>
                <w:rFonts w:ascii="Times New Roman" w:eastAsia="Calibri" w:hAnsi="Times New Roman" w:cs="Times New Roman"/>
                <w:i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6175F1" w:rsidRPr="006175F1" w:rsidRDefault="006175F1" w:rsidP="006175F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6175F1">
              <w:rPr>
                <w:rFonts w:ascii="Times New Roman" w:eastAsia="Calibri" w:hAnsi="Times New Roman" w:cs="Times New Roman"/>
                <w:iCs/>
                <w:lang w:eastAsia="ru-RU"/>
              </w:rPr>
              <w:t>Порядок и срок выполнения работ: работы по изготовлению протеза  осуществляются Подрядчиком не более 30  календарных дней со дня получения Подрядчиком реестра Получателей Изделий.</w:t>
            </w:r>
          </w:p>
          <w:p w:rsidR="006175F1" w:rsidRPr="006175F1" w:rsidRDefault="006175F1" w:rsidP="0061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75F1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Срок выполнения работ по контракту: с момента заключения контракта по 15.12.2022 года.</w:t>
            </w:r>
          </w:p>
        </w:tc>
      </w:tr>
      <w:tr w:rsidR="006175F1" w:rsidRPr="006175F1" w:rsidTr="006175F1">
        <w:trPr>
          <w:trHeight w:val="5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F1" w:rsidRPr="006175F1" w:rsidRDefault="006175F1" w:rsidP="00617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6175F1" w:rsidRDefault="006175F1" w:rsidP="00617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6175F1" w:rsidRPr="006175F1" w:rsidRDefault="006175F1" w:rsidP="00617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F1" w:rsidRPr="006175F1" w:rsidRDefault="006175F1" w:rsidP="006175F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F1" w:rsidRPr="006175F1" w:rsidRDefault="006175F1" w:rsidP="006175F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  <w:bookmarkStart w:id="0" w:name="_GoBack"/>
        <w:bookmarkEnd w:id="0"/>
      </w:tr>
      <w:tr w:rsidR="006175F1" w:rsidRPr="006175F1" w:rsidTr="006175F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6175F1" w:rsidRDefault="006175F1" w:rsidP="00617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8-07-14. 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Формообразующая часть косметической облицовки должна быть модульная мягкая полиуретановая, листовой поролон или полужёсткая эластичная. Косметическим покрытием облицовки должны быть чулки ортопедические </w:t>
            </w:r>
            <w:proofErr w:type="spellStart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, допускается покрытие защитное плёночное. Приемная гильза протеза должна быть индивидуального изготовления по слепку с культи инвалида, допускается изготовление одной-двух пробных гильз на основе из </w:t>
            </w:r>
            <w:proofErr w:type="spellStart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терм</w:t>
            </w:r>
            <w:proofErr w:type="gramStart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формуевомого</w:t>
            </w:r>
            <w:proofErr w:type="spellEnd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 прозрачного пластика. Материал индивидуальной постоянной гильзы должен быть литьевой слоистый пластик на основе акриловых смол, листовой термопластичный пластик. В качестве вкладного элемента должен применяться  чехол из полимерного материала (силиконовый)  (не менее 2). 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Крепление протеза должно быть индивидуальным (по медицинским показаниям).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Регулировочно-соединительные устройства должны соответствовать весу инвалида. </w:t>
            </w:r>
          </w:p>
          <w:p w:rsidR="006175F1" w:rsidRPr="006175F1" w:rsidRDefault="006175F1" w:rsidP="00617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Модуль стопы должен быть </w:t>
            </w:r>
            <w:proofErr w:type="gramStart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с микропроцессорным управлением сервопривода с функцией адаптивного  изменения угла щиколотки во время ходьбы в зависимости от рельефа</w:t>
            </w:r>
            <w:proofErr w:type="gramEnd"/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 xml:space="preserve"> местности. Должна быть встроенная аккумуляторная батарея с зарядным устройством. Должна быть возможность регулировки высоты каблука. Индивидуальные настройки под пациента должны производиться через мобильное устройство или персональный компьютер. Стопа должна быть динамическая, из легких современных материалов. </w:t>
            </w: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Жесткость пластин должна соответствовать  весу и динамике пациента. Протез должен иметь свойство защиты от влаги и пыли. Протез должен быть постоянный.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6175F1" w:rsidRDefault="006175F1" w:rsidP="00617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F1" w:rsidRPr="006175F1" w:rsidRDefault="006175F1" w:rsidP="00617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5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175F1" w:rsidRPr="006175F1" w:rsidRDefault="006175F1" w:rsidP="006175F1">
      <w:pPr>
        <w:jc w:val="center"/>
        <w:rPr>
          <w:rFonts w:ascii="Times New Roman" w:hAnsi="Times New Roman" w:cs="Times New Roman"/>
        </w:rPr>
      </w:pPr>
    </w:p>
    <w:sectPr w:rsidR="006175F1" w:rsidRPr="0061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DC"/>
    <w:rsid w:val="004F6A14"/>
    <w:rsid w:val="005D1CDC"/>
    <w:rsid w:val="006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2022-11-07T07:42:00Z</dcterms:created>
  <dcterms:modified xsi:type="dcterms:W3CDTF">2022-11-07T07:43:00Z</dcterms:modified>
</cp:coreProperties>
</file>