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BC" w:rsidRPr="00B36E0D" w:rsidRDefault="002438BC" w:rsidP="00BA4CB5">
      <w:pPr>
        <w:keepNext/>
        <w:rPr>
          <w:rFonts w:eastAsia="Lucida Sans Unicode"/>
          <w:b/>
          <w:color w:val="000000"/>
          <w:kern w:val="1"/>
          <w:lang w:eastAsia="en-US" w:bidi="en-US"/>
        </w:rPr>
      </w:pPr>
    </w:p>
    <w:p w:rsidR="002438BC" w:rsidRDefault="00B70B10" w:rsidP="002438B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B36E0D" w:rsidRPr="00B36E0D" w:rsidRDefault="00B36E0D" w:rsidP="00B36E0D">
      <w:pPr>
        <w:pStyle w:val="a5"/>
        <w:spacing w:before="0" w:after="0"/>
        <w:jc w:val="center"/>
        <w:rPr>
          <w:b/>
          <w:lang w:eastAsia="ru-RU"/>
        </w:rPr>
      </w:pPr>
      <w:r w:rsidRPr="00B36E0D">
        <w:rPr>
          <w:b/>
          <w:lang w:eastAsia="ru-RU"/>
        </w:rPr>
        <w:t xml:space="preserve">на поставку впитывающих простыней (пеленок) </w:t>
      </w:r>
      <w:r w:rsidR="00565D35" w:rsidRPr="00565D35">
        <w:rPr>
          <w:b/>
          <w:lang w:eastAsia="ru-RU"/>
        </w:rPr>
        <w:t xml:space="preserve">инвалидам и отдельным категориям граждан из числа ветеранов </w:t>
      </w:r>
      <w:r w:rsidRPr="00B36E0D">
        <w:rPr>
          <w:b/>
          <w:lang w:eastAsia="ru-RU"/>
        </w:rPr>
        <w:t>в 202</w:t>
      </w:r>
      <w:r w:rsidR="00E159BB">
        <w:rPr>
          <w:b/>
          <w:lang w:eastAsia="ru-RU"/>
        </w:rPr>
        <w:t>2</w:t>
      </w:r>
      <w:r w:rsidRPr="00B36E0D">
        <w:rPr>
          <w:b/>
          <w:lang w:eastAsia="ru-RU"/>
        </w:rPr>
        <w:t xml:space="preserve"> году</w:t>
      </w:r>
    </w:p>
    <w:p w:rsidR="00B36E0D" w:rsidRPr="00B36E0D" w:rsidRDefault="00B36E0D" w:rsidP="002438B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3827"/>
        <w:gridCol w:w="1134"/>
        <w:gridCol w:w="1275"/>
        <w:gridCol w:w="1418"/>
      </w:tblGrid>
      <w:tr w:rsidR="00565D35" w:rsidTr="00974CEC">
        <w:trPr>
          <w:trHeight w:val="13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35" w:rsidRPr="00B36E0D" w:rsidRDefault="00565D35" w:rsidP="000B3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B36E0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35" w:rsidRPr="00B36E0D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B36E0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5" w:rsidRPr="00B36E0D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B36E0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,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5" w:rsidRPr="00B36E0D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Цена за единицу,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5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Стоимость, руб.</w:t>
            </w:r>
          </w:p>
        </w:tc>
      </w:tr>
      <w:tr w:rsidR="008074F0" w:rsidTr="00974C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Pr="00C73FF5" w:rsidRDefault="008074F0" w:rsidP="008074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3FF5">
              <w:rPr>
                <w:color w:val="000000"/>
              </w:rPr>
              <w:t>22-01-01 Впитывающие простыни (пеленки) размером не менее 40 x 60 см (</w:t>
            </w:r>
            <w:proofErr w:type="spellStart"/>
            <w:r w:rsidRPr="00C73FF5">
              <w:rPr>
                <w:color w:val="000000"/>
              </w:rPr>
              <w:t>впитываемостью</w:t>
            </w:r>
            <w:proofErr w:type="spellEnd"/>
            <w:r w:rsidRPr="00C73FF5">
              <w:rPr>
                <w:color w:val="000000"/>
              </w:rPr>
              <w:t xml:space="preserve"> от 400 до 500 мл)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C" w:rsidRPr="00974CEC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 xml:space="preserve">Впитывающие простыни (пеленки) должны обеспечивать соблюдение санитарно-гигиенических </w:t>
            </w:r>
          </w:p>
          <w:p w:rsidR="00974CEC" w:rsidRPr="00974CEC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условий для инвалидов с нарушениями функций выделения.</w:t>
            </w:r>
          </w:p>
          <w:p w:rsidR="00974CEC" w:rsidRPr="00974CEC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Функциональным предназначением впитывающей пеленки является обеспечение впитывания мочи и защиты постели от протекания. Рабочая поверхность пеленки остается сухой на протяжении всего периода использования, впитанная жидкость не выделяется наружу. Верхний слой пеленки из мягкого</w:t>
            </w:r>
          </w:p>
          <w:p w:rsidR="00974CEC" w:rsidRPr="00974CEC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на ощупь материала, обеспечивающего комфорт.</w:t>
            </w:r>
          </w:p>
          <w:p w:rsidR="00974CEC" w:rsidRPr="00974CEC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- Многослойная с впитывающим слоем из абсорбента и (или) распушенной целлюлозы, которые позволяют впитанной жидкости равномерно распределяться по всей площади.</w:t>
            </w:r>
          </w:p>
          <w:p w:rsidR="008074F0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- Нижний слой выполнен из водонепроницаемой нескользящей пленки, верхний слой - из тонкого нетканого материала, подобного текстилю.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FC1F36" w:rsidRDefault="00974CEC" w:rsidP="008074F0">
            <w:r>
              <w:t>6 030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DA300D" w:rsidRDefault="00974CEC" w:rsidP="008074F0">
            <w:r>
              <w:t>13,50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922F84" w:rsidRDefault="00974CEC" w:rsidP="008074F0">
            <w:r>
              <w:t>81 405</w:t>
            </w:r>
          </w:p>
        </w:tc>
      </w:tr>
      <w:tr w:rsidR="008074F0" w:rsidTr="00974C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Pr="00C73FF5" w:rsidRDefault="008074F0" w:rsidP="008074F0">
            <w:pPr>
              <w:jc w:val="center"/>
              <w:rPr>
                <w:color w:val="000000"/>
              </w:rPr>
            </w:pPr>
            <w:r w:rsidRPr="00C73FF5">
              <w:rPr>
                <w:color w:val="000000"/>
              </w:rPr>
              <w:t>22-01-02 Впитывающие простыни (пеленки) размером не менее 60 x 60 см (</w:t>
            </w:r>
            <w:proofErr w:type="spellStart"/>
            <w:r w:rsidRPr="00C73FF5">
              <w:rPr>
                <w:color w:val="000000"/>
              </w:rPr>
              <w:t>впитываемостью</w:t>
            </w:r>
            <w:proofErr w:type="spellEnd"/>
            <w:r w:rsidRPr="00C73FF5">
              <w:rPr>
                <w:color w:val="000000"/>
              </w:rPr>
              <w:t xml:space="preserve"> от 800 до 1200 мл)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Default="008074F0" w:rsidP="008074F0">
            <w:pPr>
              <w:suppressAutoHyphens w:val="0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FC1F36" w:rsidRDefault="00974CEC" w:rsidP="008074F0">
            <w:r>
              <w:t>15 600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DA300D" w:rsidRDefault="00974CEC" w:rsidP="008074F0">
            <w:r>
              <w:t>14,75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922F84" w:rsidRDefault="00974CEC" w:rsidP="008074F0">
            <w:r>
              <w:t>230 100</w:t>
            </w:r>
          </w:p>
        </w:tc>
      </w:tr>
      <w:tr w:rsidR="008074F0" w:rsidTr="00974C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Pr="00C73FF5" w:rsidRDefault="008074F0" w:rsidP="008074F0">
            <w:pPr>
              <w:jc w:val="center"/>
              <w:rPr>
                <w:color w:val="000000"/>
              </w:rPr>
            </w:pPr>
            <w:r w:rsidRPr="00C73FF5">
              <w:rPr>
                <w:color w:val="000000"/>
              </w:rPr>
              <w:t>22-01-03 Впитывающие простыни (пеленки) размером не менее 60 x 90 см (</w:t>
            </w:r>
            <w:proofErr w:type="spellStart"/>
            <w:r w:rsidRPr="00C73FF5">
              <w:rPr>
                <w:color w:val="000000"/>
              </w:rPr>
              <w:t>впитываемостью</w:t>
            </w:r>
            <w:proofErr w:type="spellEnd"/>
            <w:r w:rsidRPr="00C73FF5">
              <w:rPr>
                <w:color w:val="000000"/>
              </w:rPr>
              <w:t xml:space="preserve"> от 1200 до 1900 мл)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Default="008074F0" w:rsidP="008074F0">
            <w:pPr>
              <w:suppressAutoHyphens w:val="0"/>
              <w:rPr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Default="00974CEC" w:rsidP="00974CEC">
            <w:pPr>
              <w:ind w:firstLine="80"/>
            </w:pPr>
            <w:r>
              <w:t>81 660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Default="00974CEC" w:rsidP="008074F0">
            <w:r>
              <w:t>18,45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0" w:rsidRPr="00922F84" w:rsidRDefault="00974CEC" w:rsidP="008074F0">
            <w:r>
              <w:t>1 506 627</w:t>
            </w:r>
          </w:p>
        </w:tc>
      </w:tr>
      <w:tr w:rsidR="00974CEC" w:rsidTr="00974CE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C" w:rsidRPr="008C1B79" w:rsidRDefault="00974CEC" w:rsidP="008074F0">
            <w:pPr>
              <w:pStyle w:val="Standard"/>
              <w:ind w:left="4" w:right="4"/>
              <w:jc w:val="center"/>
              <w:rPr>
                <w:rFonts w:ascii="Times New Roman" w:hAnsi="Times New Roman"/>
                <w:b/>
              </w:rPr>
            </w:pPr>
            <w:r w:rsidRPr="008C1B7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EC" w:rsidRPr="00974CEC" w:rsidRDefault="00974CEC" w:rsidP="008074F0">
            <w:pPr>
              <w:rPr>
                <w:b/>
              </w:rPr>
            </w:pPr>
            <w:r w:rsidRPr="00974CEC">
              <w:rPr>
                <w:b/>
              </w:rPr>
              <w:t xml:space="preserve">                                                                                                 1 818 132,00</w:t>
            </w:r>
          </w:p>
        </w:tc>
      </w:tr>
    </w:tbl>
    <w:p w:rsidR="002438BC" w:rsidRDefault="002438BC" w:rsidP="00B36E0D">
      <w:pPr>
        <w:pStyle w:val="Standard"/>
        <w:jc w:val="center"/>
        <w:rPr>
          <w:rFonts w:ascii="Times New Roman" w:hAnsi="Times New Roman" w:cs="Times New Roman"/>
          <w:kern w:val="3"/>
        </w:rPr>
      </w:pPr>
    </w:p>
    <w:p w:rsidR="002438BC" w:rsidRDefault="002438BC" w:rsidP="00B36E0D">
      <w:pPr>
        <w:pStyle w:val="Standard"/>
        <w:ind w:right="-427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качеству Товара:</w:t>
      </w:r>
    </w:p>
    <w:p w:rsidR="00974CEC" w:rsidRPr="00974CEC" w:rsidRDefault="002438BC" w:rsidP="00974CEC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74CEC" w:rsidRPr="00974CEC">
        <w:rPr>
          <w:rFonts w:ascii="Times New Roman" w:hAnsi="Times New Roman"/>
        </w:rPr>
        <w:t xml:space="preserve">Впитывающие простыни (пеленки) должны обеспечивать соблюдение санитарно-гигиенических </w:t>
      </w:r>
    </w:p>
    <w:p w:rsidR="00974CEC" w:rsidRPr="00974CEC" w:rsidRDefault="00974CEC" w:rsidP="00974CEC">
      <w:pPr>
        <w:pStyle w:val="Standard"/>
        <w:ind w:right="-1"/>
        <w:jc w:val="both"/>
        <w:rPr>
          <w:rFonts w:ascii="Times New Roman" w:hAnsi="Times New Roman"/>
        </w:rPr>
      </w:pPr>
      <w:r w:rsidRPr="00974CEC">
        <w:rPr>
          <w:rFonts w:ascii="Times New Roman" w:hAnsi="Times New Roman"/>
        </w:rPr>
        <w:t>условий для инвалидов с нарушениями функций выделения.</w:t>
      </w:r>
    </w:p>
    <w:p w:rsidR="00974CEC" w:rsidRPr="00974CEC" w:rsidRDefault="00974CEC" w:rsidP="00974CEC">
      <w:pPr>
        <w:pStyle w:val="Standard"/>
        <w:ind w:right="-1"/>
        <w:jc w:val="both"/>
        <w:rPr>
          <w:rFonts w:ascii="Times New Roman" w:hAnsi="Times New Roman"/>
        </w:rPr>
      </w:pPr>
      <w:r w:rsidRPr="00974CEC">
        <w:rPr>
          <w:rFonts w:ascii="Times New Roman" w:hAnsi="Times New Roman"/>
        </w:rPr>
        <w:t>Функциональным предназначением впитывающей пеленки является обеспечение впитывания мочи и защиты постели от протекания. Рабочая поверхность пеленки остается сухой на протяжении всего периода использования, впитанная жидкость не выделяется наружу. Верхний слой пеленки из мягкого</w:t>
      </w:r>
    </w:p>
    <w:p w:rsidR="00974CEC" w:rsidRPr="00974CEC" w:rsidRDefault="00974CEC" w:rsidP="00974CEC">
      <w:pPr>
        <w:pStyle w:val="Standard"/>
        <w:ind w:right="-1"/>
        <w:jc w:val="both"/>
        <w:rPr>
          <w:rFonts w:ascii="Times New Roman" w:hAnsi="Times New Roman"/>
        </w:rPr>
      </w:pPr>
      <w:r w:rsidRPr="00974CEC">
        <w:rPr>
          <w:rFonts w:ascii="Times New Roman" w:hAnsi="Times New Roman"/>
        </w:rPr>
        <w:t>на ощупь материала, обеспечивающего комфорт.</w:t>
      </w:r>
    </w:p>
    <w:p w:rsidR="002438BC" w:rsidRDefault="00974CEC" w:rsidP="00974CEC">
      <w:pPr>
        <w:pStyle w:val="Standard"/>
        <w:ind w:right="-1" w:firstLine="709"/>
        <w:jc w:val="both"/>
        <w:rPr>
          <w:rFonts w:ascii="Times New Roman" w:hAnsi="Times New Roman"/>
          <w:b/>
        </w:rPr>
      </w:pPr>
      <w:r w:rsidRPr="00974CEC">
        <w:rPr>
          <w:rFonts w:ascii="Times New Roman" w:hAnsi="Times New Roman"/>
        </w:rPr>
        <w:t xml:space="preserve">Поставщик обязан представить Заказчику копии действующих регистрационных </w:t>
      </w:r>
      <w:r w:rsidRPr="00974CEC">
        <w:rPr>
          <w:rFonts w:ascii="Times New Roman" w:hAnsi="Times New Roman"/>
        </w:rPr>
        <w:lastRenderedPageBreak/>
        <w:t>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маркировке, упаковке и отгрузке Товара:</w:t>
      </w:r>
    </w:p>
    <w:p w:rsidR="002438BC" w:rsidRDefault="002438BC" w:rsidP="00C73FF5">
      <w:pPr>
        <w:pStyle w:val="Standard"/>
        <w:tabs>
          <w:tab w:val="left" w:pos="708"/>
        </w:tabs>
        <w:ind w:right="-1"/>
        <w:jc w:val="both"/>
      </w:pPr>
      <w:r>
        <w:rPr>
          <w:rFonts w:ascii="Times New Roman" w:hAnsi="Times New Roman"/>
        </w:rPr>
        <w:t>Маркировка упаковки впитывающих простыней (пеленок)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должна включать: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условное обозначение группы впитывающих пеленок;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товарную марку (при наличии);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обозначение размера изделия;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обозначение </w:t>
      </w:r>
      <w:proofErr w:type="spellStart"/>
      <w:r>
        <w:rPr>
          <w:rFonts w:ascii="Times New Roman" w:hAnsi="Times New Roman"/>
        </w:rPr>
        <w:t>впитываемости</w:t>
      </w:r>
      <w:proofErr w:type="spellEnd"/>
      <w:r>
        <w:rPr>
          <w:rFonts w:ascii="Times New Roman" w:hAnsi="Times New Roman"/>
        </w:rPr>
        <w:t xml:space="preserve"> изделия;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страну-изготовителя;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предприятия-изготовителя;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адрес, товарный знак (при наличии);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номер артикула (при наличии);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изделий в упаковке;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дату (месяц, год) изготовления;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срок годности;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указания по утилизации: «Не бросать в канализацию»;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правила использования (при необходимости);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штриховой код изделия (при наличии);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информацию о сертификации (при наличии).</w:t>
      </w:r>
    </w:p>
    <w:p w:rsidR="002438BC" w:rsidRDefault="002438BC" w:rsidP="00C73FF5">
      <w:pPr>
        <w:pStyle w:val="Standard"/>
        <w:tabs>
          <w:tab w:val="left" w:pos="708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Впитывающие простыни (пеленки)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 несколько штук упаковывают в пакеты из полимерной пленки, пачки, коробки или другую тару, обеспечивающую их сохранность при транспортировании и хранении. Швы в пакетах из полимерной пленки должны быть заварены.</w:t>
      </w:r>
      <w:r>
        <w:rPr>
          <w:rFonts w:ascii="Times New Roman" w:hAnsi="Times New Roman"/>
        </w:rPr>
        <w:tab/>
        <w:t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Упаковка впитывающих простыней (пеленок) должна обеспечивать их защиту от повреждений, порчи или загрязнения и от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погрузо-разгрузочных работ не допускается повреждение упаковки Товара.</w:t>
      </w: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both"/>
        <w:rPr>
          <w:rFonts w:ascii="Times New Roman" w:hAnsi="Times New Roman"/>
        </w:rPr>
      </w:pP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безопасности Товара:</w:t>
      </w:r>
    </w:p>
    <w:p w:rsidR="002438BC" w:rsidRDefault="002438BC" w:rsidP="00C73FF5">
      <w:pPr>
        <w:ind w:right="-1" w:firstLine="709"/>
        <w:jc w:val="both"/>
      </w:pPr>
      <w:r>
        <w:t>Поверхност</w:t>
      </w:r>
      <w:r w:rsidR="00B81841">
        <w:t>ь пеленок должна быть из гипоалл</w:t>
      </w:r>
      <w:r>
        <w:t>ергенного нетканого материала.</w:t>
      </w:r>
    </w:p>
    <w:p w:rsidR="002438BC" w:rsidRDefault="002438BC" w:rsidP="00C73FF5">
      <w:pPr>
        <w:ind w:right="-1" w:firstLine="709"/>
        <w:jc w:val="both"/>
      </w:pPr>
    </w:p>
    <w:p w:rsidR="00B36E0D" w:rsidRPr="00B36E0D" w:rsidRDefault="00B36E0D" w:rsidP="00C73FF5">
      <w:pPr>
        <w:autoSpaceDE w:val="0"/>
        <w:autoSpaceDN w:val="0"/>
        <w:ind w:right="-1" w:firstLine="709"/>
        <w:jc w:val="center"/>
        <w:rPr>
          <w:b/>
          <w:u w:val="single"/>
        </w:rPr>
      </w:pPr>
      <w:r w:rsidRPr="00B36E0D">
        <w:rPr>
          <w:b/>
          <w:u w:val="single"/>
        </w:rPr>
        <w:t>Условия оплаты по Контракту</w:t>
      </w:r>
      <w:r w:rsidR="00BF1EF6">
        <w:rPr>
          <w:b/>
          <w:u w:val="single"/>
        </w:rPr>
        <w:t>:</w:t>
      </w:r>
    </w:p>
    <w:p w:rsidR="00805663" w:rsidRPr="00805663" w:rsidRDefault="00805663" w:rsidP="00805663">
      <w:pPr>
        <w:ind w:firstLine="426"/>
        <w:jc w:val="both"/>
        <w:outlineLvl w:val="0"/>
        <w:rPr>
          <w:rFonts w:eastAsia="Lucida Sans Unicode"/>
          <w:kern w:val="3"/>
          <w:lang w:eastAsia="ru-RU"/>
        </w:rPr>
      </w:pPr>
      <w:r w:rsidRPr="00805663">
        <w:rPr>
          <w:rFonts w:eastAsia="Lucida Sans Unicode"/>
          <w:kern w:val="3"/>
          <w:lang w:eastAsia="ru-RU"/>
        </w:rPr>
        <w:t>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  <w:bookmarkStart w:id="0" w:name="_GoBack"/>
      <w:bookmarkEnd w:id="0"/>
    </w:p>
    <w:p w:rsidR="00805663" w:rsidRPr="00805663" w:rsidRDefault="00805663" w:rsidP="00805663">
      <w:pPr>
        <w:jc w:val="both"/>
        <w:outlineLvl w:val="0"/>
        <w:rPr>
          <w:rFonts w:eastAsia="Lucida Sans Unicode"/>
          <w:kern w:val="3"/>
          <w:lang w:eastAsia="ru-RU"/>
        </w:rPr>
      </w:pPr>
      <w:r w:rsidRPr="00805663">
        <w:rPr>
          <w:rFonts w:eastAsia="Lucida Sans Unicode"/>
          <w:kern w:val="3"/>
          <w:lang w:eastAsia="ru-RU"/>
        </w:rPr>
        <w:t xml:space="preserve">  Оплата осуществляется Заказчиком со своего лицевого счета, открытого в органах Федерального казначейства по безналичному расчету в течение 7 (семь) рабочих дней с даты подписания Заказчиком усиленной квалифицированной электронной подписью документа о приемке, сформированного Поставщиком с использованием единой информационной системы на основании счета, представленного Поставщиком </w:t>
      </w:r>
    </w:p>
    <w:p w:rsidR="00B36E0D" w:rsidRPr="00805663" w:rsidRDefault="00B36E0D" w:rsidP="00C73FF5">
      <w:pPr>
        <w:spacing w:line="100" w:lineRule="atLeast"/>
        <w:ind w:right="-1"/>
        <w:rPr>
          <w:rFonts w:eastAsia="Andale Sans UI" w:cs="Tahoma"/>
          <w:b/>
          <w:bCs/>
          <w:kern w:val="3"/>
          <w:u w:val="single"/>
          <w:lang w:eastAsia="ja-JP" w:bidi="fa-IR"/>
        </w:rPr>
      </w:pPr>
    </w:p>
    <w:p w:rsidR="00B36E0D" w:rsidRPr="00BF1EF6" w:rsidRDefault="00B36E0D" w:rsidP="00C73FF5">
      <w:pPr>
        <w:spacing w:line="100" w:lineRule="atLeast"/>
        <w:ind w:left="-284" w:right="-1"/>
        <w:jc w:val="center"/>
        <w:rPr>
          <w:rFonts w:eastAsia="Andale Sans UI" w:cs="Tahoma"/>
          <w:b/>
          <w:bCs/>
          <w:kern w:val="3"/>
          <w:u w:val="single"/>
          <w:lang w:eastAsia="ja-JP" w:bidi="fa-IR"/>
        </w:rPr>
      </w:pPr>
      <w:proofErr w:type="spellStart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Требования</w:t>
      </w:r>
      <w:proofErr w:type="spellEnd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к </w:t>
      </w:r>
      <w:proofErr w:type="spellStart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предоставлению</w:t>
      </w:r>
      <w:proofErr w:type="spellEnd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гарантийных</w:t>
      </w:r>
      <w:proofErr w:type="spellEnd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обязательств</w:t>
      </w:r>
      <w:proofErr w:type="spellEnd"/>
      <w:r w:rsidR="00BF1EF6">
        <w:rPr>
          <w:rFonts w:eastAsia="Andale Sans UI" w:cs="Tahoma"/>
          <w:b/>
          <w:bCs/>
          <w:kern w:val="3"/>
          <w:u w:val="single"/>
          <w:lang w:eastAsia="ja-JP" w:bidi="fa-IR"/>
        </w:rPr>
        <w:t>:</w:t>
      </w:r>
    </w:p>
    <w:p w:rsidR="00B36E0D" w:rsidRPr="00B36E0D" w:rsidRDefault="00B36E0D" w:rsidP="00C73FF5">
      <w:pPr>
        <w:spacing w:line="100" w:lineRule="atLeast"/>
        <w:ind w:right="-1" w:firstLine="708"/>
        <w:jc w:val="both"/>
        <w:rPr>
          <w:kern w:val="3"/>
          <w:lang w:eastAsia="ru-RU"/>
        </w:rPr>
      </w:pPr>
      <w:r w:rsidRPr="00B36E0D">
        <w:rPr>
          <w:kern w:val="3"/>
          <w:lang w:eastAsia="ru-RU"/>
        </w:rPr>
        <w:t>Поставщик при заключении Контракта должен представить Заказчику обеспечение исполнения Контракта в размере 30 % от цены Контракта.</w:t>
      </w:r>
    </w:p>
    <w:p w:rsidR="00BF1EF6" w:rsidRDefault="00BF1EF6" w:rsidP="00C73FF5">
      <w:pPr>
        <w:spacing w:line="100" w:lineRule="atLeast"/>
        <w:ind w:right="-1"/>
        <w:jc w:val="center"/>
        <w:rPr>
          <w:rFonts w:eastAsia="Lucida Sans Unicode"/>
          <w:kern w:val="3"/>
          <w:lang w:eastAsia="ru-RU"/>
        </w:rPr>
      </w:pPr>
    </w:p>
    <w:p w:rsidR="00B36E0D" w:rsidRPr="00B36E0D" w:rsidRDefault="00B36E0D" w:rsidP="00C73FF5">
      <w:pPr>
        <w:spacing w:line="100" w:lineRule="atLeast"/>
        <w:ind w:right="-1"/>
        <w:jc w:val="center"/>
        <w:rPr>
          <w:b/>
          <w:bCs/>
          <w:u w:val="single"/>
          <w:lang w:eastAsia="ru-RU"/>
        </w:rPr>
      </w:pPr>
      <w:r w:rsidRPr="00B36E0D">
        <w:rPr>
          <w:b/>
          <w:bCs/>
          <w:u w:val="single"/>
          <w:lang w:eastAsia="ru-RU"/>
        </w:rPr>
        <w:t>Требования к сроку и (или) объему предоставленных гарантий качества Товара:</w:t>
      </w:r>
    </w:p>
    <w:p w:rsidR="00B36E0D" w:rsidRPr="00B36E0D" w:rsidRDefault="00B36E0D" w:rsidP="00C73FF5">
      <w:pPr>
        <w:widowControl w:val="0"/>
        <w:autoSpaceDN w:val="0"/>
        <w:ind w:right="-1" w:firstLine="708"/>
        <w:jc w:val="both"/>
        <w:textAlignment w:val="baseline"/>
        <w:rPr>
          <w:rFonts w:eastAsia="Lucida Sans Unicode"/>
          <w:kern w:val="3"/>
          <w:lang w:eastAsia="ru-RU"/>
        </w:rPr>
      </w:pPr>
      <w:r w:rsidRPr="00B36E0D">
        <w:rPr>
          <w:rFonts w:eastAsia="Lucida Sans Unicode"/>
          <w:kern w:val="3"/>
          <w:lang w:eastAsia="ru-RU"/>
        </w:rPr>
        <w:t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05.03.2021 N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92CEC" w:rsidRPr="00392CEC" w:rsidRDefault="00392CEC" w:rsidP="00C73FF5">
      <w:pPr>
        <w:pStyle w:val="Standard"/>
        <w:ind w:right="-1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 </w:t>
      </w:r>
      <w:r w:rsidRPr="00392CEC">
        <w:rPr>
          <w:rFonts w:ascii="Times New Roman" w:hAnsi="Times New Roman" w:cs="Times New Roman"/>
          <w:kern w:val="3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392CEC" w:rsidRPr="00392CEC" w:rsidRDefault="00392CEC" w:rsidP="00C73FF5">
      <w:pPr>
        <w:pStyle w:val="Standard"/>
        <w:ind w:right="-1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</w:t>
      </w:r>
      <w:r w:rsidRPr="00392CEC">
        <w:rPr>
          <w:rFonts w:ascii="Times New Roman" w:hAnsi="Times New Roman" w:cs="Times New Roman"/>
          <w:kern w:val="3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392CEC" w:rsidRPr="00392CEC" w:rsidRDefault="00392CEC" w:rsidP="00C73FF5">
      <w:pPr>
        <w:pStyle w:val="Standard"/>
        <w:ind w:right="-1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</w:t>
      </w:r>
      <w:r w:rsidRPr="00392CEC">
        <w:rPr>
          <w:rFonts w:ascii="Times New Roman" w:hAnsi="Times New Roman" w:cs="Times New Roman"/>
          <w:kern w:val="3"/>
          <w:lang w:eastAsia="ru-RU"/>
        </w:rPr>
        <w:t>Товар является продукцией одноразовой, в связи с чем срок предоставления гарантии качества не устанавливается, но должен быть указан срок годности.</w:t>
      </w:r>
    </w:p>
    <w:p w:rsidR="002438BC" w:rsidRDefault="00392CEC" w:rsidP="00C73FF5">
      <w:pPr>
        <w:pStyle w:val="Standard"/>
        <w:ind w:right="-1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</w:t>
      </w:r>
      <w:r w:rsidRPr="00392CEC">
        <w:rPr>
          <w:rFonts w:ascii="Times New Roman" w:hAnsi="Times New Roman" w:cs="Times New Roman"/>
          <w:kern w:val="3"/>
          <w:lang w:eastAsia="ru-RU"/>
        </w:rPr>
        <w:t>Остаточный срок годности Товара на момент выдачи Получателю должен быть не менее 70 % от установленного начала срока годности.</w:t>
      </w:r>
    </w:p>
    <w:p w:rsidR="00050C32" w:rsidRPr="00B36E0D" w:rsidRDefault="00050C32" w:rsidP="00C73FF5">
      <w:pPr>
        <w:pStyle w:val="Standard"/>
        <w:ind w:right="-1"/>
        <w:jc w:val="both"/>
        <w:rPr>
          <w:rFonts w:ascii="Times New Roman" w:hAnsi="Times New Roman"/>
        </w:rPr>
      </w:pPr>
    </w:p>
    <w:p w:rsidR="002438BC" w:rsidRPr="00B36E0D" w:rsidRDefault="002438BC" w:rsidP="00C73FF5">
      <w:pPr>
        <w:pStyle w:val="Standard"/>
        <w:ind w:right="-1"/>
        <w:jc w:val="center"/>
        <w:rPr>
          <w:rFonts w:ascii="Times New Roman" w:hAnsi="Times New Roman"/>
          <w:b/>
          <w:u w:val="single"/>
        </w:rPr>
      </w:pPr>
      <w:r w:rsidRPr="00B36E0D">
        <w:rPr>
          <w:rFonts w:ascii="Times New Roman" w:hAnsi="Times New Roman"/>
          <w:b/>
          <w:u w:val="single"/>
        </w:rPr>
        <w:t>Требования к месту, условиям и срокам (периодам) поставки: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Поставщик обязан: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 xml:space="preserve">- после подписания Контракта, с момента предоставления Заказчиком информации Поставщику о количестве Товара, необходимого к поставке получателем с разбивкой по </w:t>
      </w:r>
      <w:r w:rsidRPr="007E5623">
        <w:rPr>
          <w:rFonts w:eastAsia="Lucida Sans Unicode"/>
          <w:kern w:val="3"/>
          <w:lang w:eastAsia="ru-RU"/>
        </w:rPr>
        <w:lastRenderedPageBreak/>
        <w:t>муниципальным образованиям Приморского края, предоставить в течении 3 дней Заказчику график поставки Товара получателям с разбивкой по муниципальным образованиям Приморского края в электронном виде.</w:t>
      </w:r>
      <w:r>
        <w:rPr>
          <w:rFonts w:eastAsia="Lucida Sans Unicode"/>
          <w:kern w:val="3"/>
          <w:lang w:eastAsia="ru-RU"/>
        </w:rPr>
        <w:t xml:space="preserve"> Очередность доставки по территории Приморского края согласовывается с Заказчиком.</w:t>
      </w:r>
    </w:p>
    <w:p w:rsidR="008C1B79" w:rsidRDefault="008C1B79" w:rsidP="00C73FF5">
      <w:pPr>
        <w:ind w:right="-1"/>
        <w:jc w:val="both"/>
        <w:rPr>
          <w:rFonts w:eastAsia="Arial"/>
        </w:rPr>
      </w:pPr>
    </w:p>
    <w:p w:rsidR="008C1B79" w:rsidRDefault="008C1B79" w:rsidP="00C73FF5">
      <w:pPr>
        <w:autoSpaceDN w:val="0"/>
        <w:ind w:right="-1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Муниципальные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образования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Приморского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края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, </w:t>
      </w:r>
    </w:p>
    <w:p w:rsidR="008C1B79" w:rsidRPr="007E5623" w:rsidRDefault="008C1B79" w:rsidP="00C73FF5">
      <w:pPr>
        <w:autoSpaceDN w:val="0"/>
        <w:ind w:right="-1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gram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в</w:t>
      </w:r>
      <w:proofErr w:type="gram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которые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должна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быть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осуществлена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</w:p>
    <w:p w:rsidR="008C1B79" w:rsidRPr="007E5623" w:rsidRDefault="008C1B79" w:rsidP="00C73FF5">
      <w:pPr>
        <w:autoSpaceDN w:val="0"/>
        <w:ind w:right="-1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</w:p>
    <w:p w:rsidR="00B36E0D" w:rsidRPr="00B36E0D" w:rsidRDefault="00B36E0D" w:rsidP="00C73FF5">
      <w:pPr>
        <w:widowControl w:val="0"/>
        <w:autoSpaceDE w:val="0"/>
        <w:ind w:right="-1" w:firstLine="708"/>
        <w:jc w:val="both"/>
        <w:rPr>
          <w:rFonts w:eastAsia="Lucida Sans Unicode"/>
          <w:kern w:val="3"/>
          <w:lang w:eastAsia="ru-RU"/>
        </w:rPr>
      </w:pPr>
      <w:proofErr w:type="spellStart"/>
      <w:r w:rsidRPr="00B36E0D">
        <w:rPr>
          <w:rFonts w:eastAsia="Lucida Sans Unicode"/>
          <w:kern w:val="3"/>
          <w:lang w:eastAsia="ru-RU"/>
        </w:rPr>
        <w:t>Анучинский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Лазовский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Октябрьский муниципальный округ, Пограничный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Тернейский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Ханкайский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Хорольский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Чугуевский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округ. </w:t>
      </w:r>
      <w:proofErr w:type="spellStart"/>
      <w:r w:rsidRPr="00B36E0D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Кавалеровский муниципальный район, Кировский муниципальный район, Красноармейский муниципальный район, Михайловский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Надеждинский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Ольгинский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Партизанский муниципальный район, Пожарский муниципальный район, Спасский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Хасанский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Черниговский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Шкотовский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Яковлевский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Владивостокский городской округ, </w:t>
      </w:r>
      <w:proofErr w:type="spellStart"/>
      <w:r w:rsidRPr="00B36E0D">
        <w:rPr>
          <w:rFonts w:eastAsia="Lucida Sans Unicode"/>
          <w:kern w:val="3"/>
          <w:lang w:eastAsia="ru-RU"/>
        </w:rPr>
        <w:t>Арсеньевский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городской округ, Артемовский городской округ, Городской округ Большой Камень, </w:t>
      </w:r>
      <w:proofErr w:type="spellStart"/>
      <w:r w:rsidRPr="00B36E0D">
        <w:rPr>
          <w:rFonts w:eastAsia="Lucida Sans Unicode"/>
          <w:kern w:val="3"/>
          <w:lang w:eastAsia="ru-RU"/>
        </w:rPr>
        <w:t>Дальнегорский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городской округ, </w:t>
      </w:r>
      <w:proofErr w:type="spellStart"/>
      <w:r w:rsidRPr="00B36E0D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городской округ, Лесозаводский городской округ, Находкинский городской округ, Партизанский городской округ, Спасск-Дальний городской округ, Уссурийский городской округ, Городской округ город Фокино (ЗАТО). </w:t>
      </w:r>
    </w:p>
    <w:p w:rsidR="008C1B79" w:rsidRDefault="008C1B79" w:rsidP="00C73FF5">
      <w:pPr>
        <w:ind w:right="-1"/>
        <w:jc w:val="both"/>
        <w:rPr>
          <w:rFonts w:eastAsia="Lucida Sans Unicode"/>
          <w:kern w:val="3"/>
          <w:lang w:eastAsia="ru-RU"/>
        </w:rPr>
      </w:pPr>
    </w:p>
    <w:p w:rsidR="00E159BB" w:rsidRPr="003F4B91" w:rsidRDefault="00E159BB" w:rsidP="00C73FF5">
      <w:pPr>
        <w:widowControl w:val="0"/>
        <w:autoSpaceDE w:val="0"/>
        <w:ind w:right="-1"/>
        <w:jc w:val="both"/>
        <w:rPr>
          <w:rFonts w:eastAsia="Arial"/>
        </w:rPr>
      </w:pP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получателям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должна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быть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осуществлена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в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срок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  <w:r w:rsidRPr="003F4B91">
        <w:rPr>
          <w:rFonts w:eastAsia="Andale Sans UI" w:cs="Tahoma"/>
          <w:b/>
          <w:bCs/>
          <w:kern w:val="3"/>
          <w:u w:val="single"/>
          <w:lang w:eastAsia="ja-JP" w:bidi="fa-IR"/>
        </w:rPr>
        <w:t xml:space="preserve"> </w:t>
      </w:r>
      <w:r w:rsidR="008404CE" w:rsidRPr="008404CE">
        <w:rPr>
          <w:rFonts w:eastAsia="Arial"/>
        </w:rPr>
        <w:t xml:space="preserve">с даты получения от Заказчика </w:t>
      </w:r>
      <w:r w:rsidR="008404CE" w:rsidRPr="008404CE">
        <w:rPr>
          <w:rFonts w:eastAsia="Arial"/>
          <w:u w:val="single"/>
        </w:rPr>
        <w:t>Заявки</w:t>
      </w:r>
      <w:r w:rsidR="008404CE" w:rsidRPr="008404CE">
        <w:rPr>
          <w:rFonts w:eastAsia="Arial"/>
        </w:rPr>
        <w:t xml:space="preserve"> по форме «реестра получателей Товара» (Приложении № 4 к Контракту) до</w:t>
      </w:r>
      <w:r w:rsidR="00A873CD">
        <w:rPr>
          <w:rFonts w:eastAsia="Arial"/>
        </w:rPr>
        <w:t xml:space="preserve"> </w:t>
      </w:r>
      <w:r w:rsidR="00BA4CB5">
        <w:rPr>
          <w:rFonts w:eastAsia="Arial"/>
        </w:rPr>
        <w:t>15.12.2022 -</w:t>
      </w:r>
      <w:r w:rsidRPr="003F4B91">
        <w:rPr>
          <w:rFonts w:eastAsia="Arial"/>
        </w:rPr>
        <w:t>100%</w:t>
      </w:r>
    </w:p>
    <w:p w:rsidR="00BC4D94" w:rsidRPr="00805663" w:rsidRDefault="00BC4D94" w:rsidP="00C73FF5">
      <w:pPr>
        <w:ind w:right="-1"/>
        <w:jc w:val="both"/>
        <w:rPr>
          <w:sz w:val="20"/>
          <w:szCs w:val="20"/>
        </w:rPr>
      </w:pPr>
    </w:p>
    <w:sectPr w:rsidR="00BC4D94" w:rsidRPr="00805663" w:rsidSect="00C73FF5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BC"/>
    <w:rsid w:val="00034AE9"/>
    <w:rsid w:val="00035BF2"/>
    <w:rsid w:val="00050C32"/>
    <w:rsid w:val="00090ECF"/>
    <w:rsid w:val="001F1E46"/>
    <w:rsid w:val="002438BC"/>
    <w:rsid w:val="002575AB"/>
    <w:rsid w:val="002D08C4"/>
    <w:rsid w:val="00392CEC"/>
    <w:rsid w:val="003B4AD6"/>
    <w:rsid w:val="00565D35"/>
    <w:rsid w:val="005854FB"/>
    <w:rsid w:val="00644D01"/>
    <w:rsid w:val="00805663"/>
    <w:rsid w:val="008074F0"/>
    <w:rsid w:val="008404CE"/>
    <w:rsid w:val="008C1B79"/>
    <w:rsid w:val="00974CEC"/>
    <w:rsid w:val="00A873CD"/>
    <w:rsid w:val="00B36E0D"/>
    <w:rsid w:val="00B620B5"/>
    <w:rsid w:val="00B70B10"/>
    <w:rsid w:val="00B81841"/>
    <w:rsid w:val="00BA4CB5"/>
    <w:rsid w:val="00BC4D94"/>
    <w:rsid w:val="00BF1EF6"/>
    <w:rsid w:val="00C66893"/>
    <w:rsid w:val="00C73FF5"/>
    <w:rsid w:val="00CB6D7D"/>
    <w:rsid w:val="00CE2A7B"/>
    <w:rsid w:val="00CE2B0F"/>
    <w:rsid w:val="00E159BB"/>
    <w:rsid w:val="00E84F46"/>
    <w:rsid w:val="00F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6D0DF-C56B-483C-9F08-A2E69224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38B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ConsPlusNormal">
    <w:name w:val="ConsPlusNormal"/>
    <w:rsid w:val="002438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1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7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rsid w:val="00B36E0D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Клавдия Ивановна</dc:creator>
  <cp:keywords/>
  <dc:description/>
  <cp:lastModifiedBy>Мельцова Алина Евгеньевна</cp:lastModifiedBy>
  <cp:revision>10</cp:revision>
  <cp:lastPrinted>2022-09-12T01:06:00Z</cp:lastPrinted>
  <dcterms:created xsi:type="dcterms:W3CDTF">2022-09-09T00:21:00Z</dcterms:created>
  <dcterms:modified xsi:type="dcterms:W3CDTF">2022-09-13T00:34:00Z</dcterms:modified>
</cp:coreProperties>
</file>