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9" w:rsidRPr="008871CA" w:rsidRDefault="005F68F3" w:rsidP="005B50FD">
      <w:pPr>
        <w:pStyle w:val="Standard"/>
        <w:jc w:val="right"/>
        <w:rPr>
          <w:rFonts w:cs="Times New Roman"/>
          <w:sz w:val="20"/>
          <w:szCs w:val="20"/>
        </w:rPr>
      </w:pPr>
      <w:r w:rsidRPr="008871CA">
        <w:rPr>
          <w:rFonts w:cs="Times New Roman"/>
          <w:sz w:val="20"/>
          <w:szCs w:val="20"/>
        </w:rPr>
        <w:t xml:space="preserve">Приложение </w:t>
      </w:r>
      <w:r w:rsidR="005B50FD">
        <w:rPr>
          <w:rFonts w:cs="Times New Roman"/>
          <w:sz w:val="20"/>
          <w:szCs w:val="20"/>
        </w:rPr>
        <w:t>№ 1</w:t>
      </w:r>
    </w:p>
    <w:p w:rsidR="00741559" w:rsidRPr="008871CA" w:rsidRDefault="005F68F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71CA">
        <w:rPr>
          <w:rFonts w:cs="Times New Roman"/>
          <w:b/>
          <w:sz w:val="20"/>
          <w:szCs w:val="20"/>
        </w:rPr>
        <w:t>ОПИСАНИЕ ОБЪЕКТА ЗАКУПКИ</w:t>
      </w:r>
    </w:p>
    <w:p w:rsidR="00741559" w:rsidRPr="008871CA" w:rsidRDefault="00741559">
      <w:pPr>
        <w:pStyle w:val="Standard"/>
        <w:jc w:val="right"/>
        <w:rPr>
          <w:rFonts w:cs="Times New Roman"/>
          <w:sz w:val="20"/>
          <w:szCs w:val="20"/>
        </w:rPr>
      </w:pPr>
    </w:p>
    <w:p w:rsidR="00741559" w:rsidRPr="008871CA" w:rsidRDefault="005F68F3" w:rsidP="005B50FD">
      <w:pPr>
        <w:pStyle w:val="Standard"/>
        <w:ind w:left="-142" w:firstLine="709"/>
        <w:jc w:val="both"/>
        <w:rPr>
          <w:rFonts w:cs="Times New Roman"/>
          <w:b/>
          <w:sz w:val="20"/>
          <w:szCs w:val="20"/>
          <w:lang w:eastAsia="ar-SA"/>
        </w:rPr>
      </w:pPr>
      <w:r w:rsidRPr="008871CA">
        <w:rPr>
          <w:rFonts w:cs="Times New Roman"/>
          <w:b/>
          <w:sz w:val="20"/>
          <w:szCs w:val="20"/>
          <w:lang w:eastAsia="ar-SA"/>
        </w:rPr>
        <w:t>Требования к качеству, техническим характеристикам работ, требования к их безопасности, требования к результатам работ и иные показатели, связанные с определением соответствия выполняемых работ потребностям государственного заказчика:</w:t>
      </w:r>
    </w:p>
    <w:p w:rsidR="00984719" w:rsidRPr="008871CA" w:rsidRDefault="00984719" w:rsidP="005B50FD">
      <w:pPr>
        <w:suppressAutoHyphens w:val="0"/>
        <w:autoSpaceDN/>
        <w:ind w:left="-142" w:firstLine="709"/>
        <w:contextualSpacing/>
        <w:jc w:val="both"/>
        <w:textAlignment w:val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Выполнение работ по протезированию должно соответствовать назначениям </w:t>
      </w:r>
      <w:proofErr w:type="gramStart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медико-социальной</w:t>
      </w:r>
      <w:proofErr w:type="gramEnd"/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экспертизы, а также врача. При выполнении работ по протезированию должен быть осуществлен контроль при примерке и обеспеч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е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нии изделиями. Инвалиды не должны испытывать болей, избыточного давления, обуславливающих нарушения кровоо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>б</w:t>
      </w:r>
      <w:r w:rsidRPr="008871CA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ращения. </w:t>
      </w:r>
    </w:p>
    <w:p w:rsidR="00D106DB" w:rsidRPr="00D106DB" w:rsidRDefault="00D106DB" w:rsidP="005B50FD">
      <w:pPr>
        <w:suppressAutoHyphens w:val="0"/>
        <w:ind w:left="-142" w:firstLine="709"/>
        <w:jc w:val="both"/>
        <w:textAlignment w:val="auto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</w:pP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Выполняемые работы должны включать комплекс медицинских, технических и социальных мероприятий, пр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о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водимых с инвалидами, имеющими нарушения опорно-двигательного аппарата травматологического, орт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о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педического, неврологического и иного характера заболеваний, а также других дефектов организма и обеспечивать лечение, восст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>а</w:t>
      </w:r>
      <w:r w:rsidRPr="00D106DB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ru-RU"/>
        </w:rPr>
        <w:t xml:space="preserve">новление и компенсацию утраченных функций организма и неустранимых анатомических дефектов и деформаций. </w:t>
      </w:r>
    </w:p>
    <w:p w:rsidR="005B50FD" w:rsidRDefault="00D106DB" w:rsidP="005B50FD">
      <w:pPr>
        <w:ind w:left="-142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D106DB">
        <w:rPr>
          <w:rFonts w:ascii="Times New Roman" w:hAnsi="Times New Roman" w:cs="Times New Roman"/>
          <w:sz w:val="20"/>
          <w:szCs w:val="20"/>
        </w:rPr>
        <w:t xml:space="preserve">- </w:t>
      </w:r>
      <w:r w:rsidRPr="00D106DB">
        <w:rPr>
          <w:rFonts w:ascii="Times New Roman" w:eastAsia="Calibri" w:hAnsi="Times New Roman" w:cs="Times New Roman"/>
          <w:sz w:val="20"/>
          <w:szCs w:val="20"/>
        </w:rPr>
        <w:t xml:space="preserve">ГОСТ </w:t>
      </w:r>
      <w:proofErr w:type="gramStart"/>
      <w:r w:rsidRPr="00D106DB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D106DB">
        <w:rPr>
          <w:rFonts w:ascii="Times New Roman" w:eastAsia="Calibri" w:hAnsi="Times New Roman" w:cs="Times New Roman"/>
          <w:sz w:val="20"/>
          <w:szCs w:val="20"/>
        </w:rPr>
        <w:t xml:space="preserve"> 51819-2022</w:t>
      </w:r>
      <w:r w:rsidRPr="00D106DB">
        <w:rPr>
          <w:rFonts w:ascii="Times New Roman" w:hAnsi="Times New Roman" w:cs="Times New Roman"/>
          <w:sz w:val="20"/>
          <w:szCs w:val="20"/>
        </w:rPr>
        <w:t xml:space="preserve"> «Протезирование и </w:t>
      </w:r>
      <w:proofErr w:type="spellStart"/>
      <w:r w:rsidRPr="00D106DB">
        <w:rPr>
          <w:rFonts w:ascii="Times New Roman" w:hAnsi="Times New Roman" w:cs="Times New Roman"/>
          <w:sz w:val="20"/>
          <w:szCs w:val="20"/>
        </w:rPr>
        <w:t>ортезирование</w:t>
      </w:r>
      <w:proofErr w:type="spellEnd"/>
      <w:r w:rsidRPr="00D106DB">
        <w:rPr>
          <w:rFonts w:ascii="Times New Roman" w:hAnsi="Times New Roman" w:cs="Times New Roman"/>
          <w:sz w:val="20"/>
          <w:szCs w:val="20"/>
        </w:rPr>
        <w:t xml:space="preserve"> верхних и нижних конечностей. </w:t>
      </w:r>
      <w:r w:rsidRPr="00D106DB">
        <w:rPr>
          <w:rFonts w:ascii="Times New Roman" w:eastAsia="Calibri" w:hAnsi="Times New Roman" w:cs="Times New Roman"/>
          <w:kern w:val="0"/>
          <w:sz w:val="20"/>
          <w:szCs w:val="20"/>
        </w:rPr>
        <w:t>Термины и определения</w:t>
      </w:r>
      <w:r w:rsidRPr="00D106DB">
        <w:rPr>
          <w:rFonts w:ascii="Times New Roman" w:hAnsi="Times New Roman" w:cs="Times New Roman"/>
          <w:sz w:val="20"/>
          <w:szCs w:val="20"/>
        </w:rPr>
        <w:t>»;</w:t>
      </w:r>
    </w:p>
    <w:p w:rsidR="00D106DB" w:rsidRPr="00D106DB" w:rsidRDefault="00D106DB" w:rsidP="005B50FD">
      <w:pPr>
        <w:ind w:left="-142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D106DB">
        <w:rPr>
          <w:rFonts w:ascii="Times New Roman" w:hAnsi="Times New Roman" w:cs="Times New Roman"/>
          <w:sz w:val="20"/>
          <w:szCs w:val="20"/>
        </w:rPr>
        <w:t xml:space="preserve">- ГОСТ </w:t>
      </w:r>
      <w:proofErr w:type="gramStart"/>
      <w:r w:rsidRPr="00D106D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06DB">
        <w:rPr>
          <w:rFonts w:ascii="Times New Roman" w:hAnsi="Times New Roman" w:cs="Times New Roman"/>
          <w:sz w:val="20"/>
          <w:szCs w:val="20"/>
        </w:rPr>
        <w:t xml:space="preserve"> 51632-2021. Национальный стандарт</w:t>
      </w:r>
      <w:r w:rsidR="005B50FD"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Российской Федерации. Технические средства реабилитации людей с ограничениями жизнедеятельности. Общие технические требования и методы испытаний" ТСР это средства реабилитации, содержащие технические решения, в том числе специальные, используемые для компенсации или устранения стойких или обратимых ограничений жизнедеятельности людей, связанных с нарушением здоровья, в том числе инвалидов. Реабилитационный эффект ТСР заключается в эффективности (полезности) применения ТСР для лица с ограничением жизнедеятельности (инвалида) в целях устранения или</w:t>
      </w:r>
      <w:r w:rsidR="005B50FD"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 xml:space="preserve">компенсации этих ограничений жизнедеятельности или реализации его реабилитационного потенциала. - ГОСТ </w:t>
      </w:r>
      <w:proofErr w:type="gramStart"/>
      <w:r w:rsidRPr="00D106D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06DB">
        <w:rPr>
          <w:rFonts w:ascii="Times New Roman" w:hAnsi="Times New Roman" w:cs="Times New Roman"/>
          <w:sz w:val="20"/>
          <w:szCs w:val="20"/>
        </w:rPr>
        <w:t xml:space="preserve"> 59542-2021. Национальный стандарт</w:t>
      </w:r>
      <w:r w:rsidR="005B50FD"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Российской Федерации. Реабилитационные мероприятия. Услуги по обучению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 xml:space="preserve">пользованию протезом нижней конечности" (далее – ГОСТ </w:t>
      </w:r>
      <w:proofErr w:type="gramStart"/>
      <w:r w:rsidRPr="00D106D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06DB">
        <w:rPr>
          <w:rFonts w:ascii="Times New Roman" w:hAnsi="Times New Roman" w:cs="Times New Roman"/>
          <w:sz w:val="20"/>
          <w:szCs w:val="20"/>
        </w:rPr>
        <w:t xml:space="preserve"> 59542-2021)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обучение пользованию протезом нижней конечности направлено на устранение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или возможно более полную компенсацию ограничения жизнедеятельности,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том числе путем проведения медицинской реабилитации. Конечной целью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обучения является содействие социальной адаптации и интеграции в общество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и предоставляется инвалидам и прочим категориям граждан протезн</w:t>
      </w:r>
      <w:proofErr w:type="gramStart"/>
      <w:r w:rsidRPr="00D106DB"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ортопедическими предприятиями в процессе выполнения работ (оказании услуг)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по протезированию нижних конечностей.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 xml:space="preserve">В целях подтверждения проведенного обучения необходимо составить в соответствии с требованиями пункта 4.6. ГОСТ </w:t>
      </w:r>
      <w:proofErr w:type="gramStart"/>
      <w:r w:rsidRPr="00D106D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06DB">
        <w:rPr>
          <w:rFonts w:ascii="Times New Roman" w:hAnsi="Times New Roman" w:cs="Times New Roman"/>
          <w:sz w:val="20"/>
          <w:szCs w:val="20"/>
        </w:rPr>
        <w:t xml:space="preserve"> 59542-2021 заключение о проведенном курсе обучения и достигнутом медицинском реабилитационном эффекте в трех экземплярах - один экземпляр передается получателю, второй экземпляр остается у исполнителя (подрядчика),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6DB">
        <w:rPr>
          <w:rFonts w:ascii="Times New Roman" w:hAnsi="Times New Roman" w:cs="Times New Roman"/>
          <w:sz w:val="20"/>
          <w:szCs w:val="20"/>
        </w:rPr>
        <w:t>третий экземпляр передается заказчику с актом приема-передачи изделия получателю.</w:t>
      </w:r>
    </w:p>
    <w:p w:rsidR="004F1F7E" w:rsidRPr="008871CA" w:rsidRDefault="00D106DB" w:rsidP="00D106D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6D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3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  <w:gridCol w:w="1134"/>
      </w:tblGrid>
      <w:tr w:rsidR="00984719" w:rsidRPr="008871CA" w:rsidTr="005B50FD">
        <w:tc>
          <w:tcPr>
            <w:tcW w:w="1668" w:type="dxa"/>
          </w:tcPr>
          <w:p w:rsidR="00984719" w:rsidRPr="008871CA" w:rsidRDefault="00984719" w:rsidP="00D106DB">
            <w:pPr>
              <w:jc w:val="center"/>
              <w:rPr>
                <w:szCs w:val="20"/>
              </w:rPr>
            </w:pPr>
          </w:p>
        </w:tc>
        <w:tc>
          <w:tcPr>
            <w:tcW w:w="7654" w:type="dxa"/>
          </w:tcPr>
          <w:p w:rsidR="00984719" w:rsidRPr="008871CA" w:rsidRDefault="00984719" w:rsidP="00D106DB">
            <w:pPr>
              <w:jc w:val="center"/>
              <w:rPr>
                <w:szCs w:val="20"/>
              </w:rPr>
            </w:pPr>
            <w:r w:rsidRPr="008871CA">
              <w:rPr>
                <w:szCs w:val="20"/>
              </w:rPr>
              <w:t>Описание</w:t>
            </w:r>
          </w:p>
          <w:p w:rsidR="00984719" w:rsidRPr="008871CA" w:rsidRDefault="00984719" w:rsidP="00D106DB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984719" w:rsidRPr="008871CA" w:rsidRDefault="00984719" w:rsidP="00D106DB">
            <w:pPr>
              <w:jc w:val="center"/>
              <w:rPr>
                <w:szCs w:val="20"/>
              </w:rPr>
            </w:pPr>
            <w:r w:rsidRPr="008871CA">
              <w:rPr>
                <w:szCs w:val="20"/>
              </w:rPr>
              <w:t>Единица измерения</w:t>
            </w:r>
          </w:p>
        </w:tc>
      </w:tr>
      <w:tr w:rsidR="00D106DB" w:rsidRPr="008871CA" w:rsidTr="005B50FD">
        <w:tc>
          <w:tcPr>
            <w:tcW w:w="1668" w:type="dxa"/>
          </w:tcPr>
          <w:p w:rsidR="005B50FD" w:rsidRDefault="00D106DB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 xml:space="preserve">Протез </w:t>
            </w:r>
          </w:p>
          <w:p w:rsidR="00D106DB" w:rsidRPr="00D12B6E" w:rsidRDefault="00D106DB" w:rsidP="00E4588F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>ст</w:t>
            </w:r>
            <w:r w:rsidRPr="00D12B6E">
              <w:rPr>
                <w:szCs w:val="20"/>
                <w:lang w:eastAsia="ru-RU"/>
              </w:rPr>
              <w:t>о</w:t>
            </w:r>
            <w:r w:rsidR="005B50FD">
              <w:rPr>
                <w:szCs w:val="20"/>
                <w:lang w:eastAsia="ru-RU"/>
              </w:rPr>
              <w:t>пы</w:t>
            </w:r>
          </w:p>
        </w:tc>
        <w:tc>
          <w:tcPr>
            <w:tcW w:w="7654" w:type="dxa"/>
          </w:tcPr>
          <w:p w:rsidR="00D106DB" w:rsidRPr="00D12B6E" w:rsidRDefault="00D106DB" w:rsidP="00E4588F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Протез стопы, индивидуального изготовления, с обязательной примеркой, а также обучением ходьбе на нем; гильза индивидуальная (изготовленная по индивидуальн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му слепку с культи инвалида). Постоянная гильза из кожи; крепление протеза г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лени на инвалиде за счет формы приемной гильзы; регулировочно-соединительные устро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й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ства на нагрузку до 100 кг; тип протеза по назначению: постоянный. В ко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м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плекте 4 чехла.</w:t>
            </w:r>
          </w:p>
        </w:tc>
        <w:tc>
          <w:tcPr>
            <w:tcW w:w="1134" w:type="dxa"/>
          </w:tcPr>
          <w:p w:rsidR="00D106DB" w:rsidRPr="008871CA" w:rsidRDefault="005B50FD" w:rsidP="008871C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ШТ</w:t>
            </w:r>
            <w:proofErr w:type="gramEnd"/>
            <w:r w:rsidR="00D106DB" w:rsidRPr="008871CA">
              <w:rPr>
                <w:szCs w:val="20"/>
              </w:rPr>
              <w:t xml:space="preserve">  </w:t>
            </w:r>
          </w:p>
        </w:tc>
      </w:tr>
      <w:tr w:rsidR="005B50FD" w:rsidRPr="008871CA" w:rsidTr="005B50FD">
        <w:tc>
          <w:tcPr>
            <w:tcW w:w="1668" w:type="dxa"/>
          </w:tcPr>
          <w:p w:rsidR="005B50FD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 xml:space="preserve">Протез 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 xml:space="preserve">голени  </w:t>
            </w:r>
            <w:proofErr w:type="gramStart"/>
            <w:r w:rsidRPr="00D12B6E">
              <w:rPr>
                <w:szCs w:val="20"/>
                <w:lang w:eastAsia="ru-RU"/>
              </w:rPr>
              <w:t>л</w:t>
            </w:r>
            <w:r w:rsidRPr="00D12B6E">
              <w:rPr>
                <w:szCs w:val="20"/>
                <w:lang w:eastAsia="ru-RU"/>
              </w:rPr>
              <w:t>е</w:t>
            </w:r>
            <w:r w:rsidRPr="00D12B6E">
              <w:rPr>
                <w:szCs w:val="20"/>
                <w:lang w:eastAsia="ru-RU"/>
              </w:rPr>
              <w:t>чебно-тренирово</w:t>
            </w:r>
            <w:r w:rsidRPr="00D12B6E">
              <w:rPr>
                <w:szCs w:val="20"/>
                <w:lang w:eastAsia="ru-RU"/>
              </w:rPr>
              <w:t>ч</w:t>
            </w:r>
            <w:r w:rsidRPr="00D12B6E">
              <w:rPr>
                <w:szCs w:val="20"/>
                <w:lang w:eastAsia="ru-RU"/>
              </w:rPr>
              <w:t>ный</w:t>
            </w:r>
            <w:proofErr w:type="gramEnd"/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голени лечебно-тренировочный с шинно-кожаным приемником, индивидуал</w:t>
            </w:r>
            <w:r w:rsidRPr="00D12B6E">
              <w:rPr>
                <w:rFonts w:eastAsia="Times New Roman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szCs w:val="20"/>
                <w:lang w:eastAsia="ru-RU"/>
              </w:rPr>
              <w:t>ного изготовления, с обязательной примеркой, а также обучением ходьбе на нем; о</w:t>
            </w:r>
            <w:r w:rsidRPr="00D12B6E">
              <w:rPr>
                <w:rFonts w:eastAsia="Times New Roman"/>
                <w:szCs w:val="20"/>
                <w:lang w:eastAsia="ru-RU"/>
              </w:rPr>
              <w:t>б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</w:t>
            </w:r>
            <w:r w:rsidRPr="00D12B6E">
              <w:rPr>
                <w:rFonts w:eastAsia="Times New Roman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szCs w:val="20"/>
                <w:lang w:eastAsia="ru-RU"/>
              </w:rPr>
              <w:t>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</w:t>
            </w:r>
            <w:r w:rsidRPr="00D12B6E">
              <w:rPr>
                <w:rFonts w:eastAsia="Times New Roman"/>
                <w:szCs w:val="20"/>
                <w:lang w:eastAsia="ru-RU"/>
              </w:rPr>
              <w:t>р</w:t>
            </w:r>
            <w:r w:rsidRPr="00D12B6E">
              <w:rPr>
                <w:rFonts w:eastAsia="Times New Roman"/>
                <w:szCs w:val="20"/>
                <w:lang w:eastAsia="ru-RU"/>
              </w:rPr>
              <w:t>топедические; гильза индивидуальная (изготовленная по индивидуальному слепку с культи инвалида). Постоянная гильза из кожи; кре</w:t>
            </w:r>
            <w:r w:rsidRPr="00D12B6E">
              <w:rPr>
                <w:rFonts w:eastAsia="Times New Roman"/>
                <w:szCs w:val="20"/>
                <w:lang w:eastAsia="ru-RU"/>
              </w:rPr>
              <w:t>п</w:t>
            </w:r>
            <w:r w:rsidRPr="00D12B6E">
              <w:rPr>
                <w:rFonts w:eastAsia="Times New Roman"/>
                <w:szCs w:val="20"/>
                <w:lang w:eastAsia="ru-RU"/>
              </w:rPr>
              <w:t>ление протеза голени на инвалиде поясное, с использованием кожаных полуфабрикатов; регулир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вочно-соединительные устройства на нагрузку до 100 кг; стопа со средней степенью энерг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сбережения;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>Протез гол</w:t>
            </w:r>
            <w:r w:rsidRPr="00D12B6E">
              <w:rPr>
                <w:szCs w:val="20"/>
                <w:lang w:eastAsia="ru-RU"/>
              </w:rPr>
              <w:t>е</w:t>
            </w:r>
            <w:r w:rsidRPr="00D12B6E">
              <w:rPr>
                <w:szCs w:val="20"/>
                <w:lang w:eastAsia="ru-RU"/>
              </w:rPr>
              <w:t>ни для куп</w:t>
            </w:r>
            <w:r w:rsidRPr="00D12B6E">
              <w:rPr>
                <w:szCs w:val="20"/>
                <w:lang w:eastAsia="ru-RU"/>
              </w:rPr>
              <w:t>а</w:t>
            </w:r>
            <w:r w:rsidRPr="00D12B6E">
              <w:rPr>
                <w:szCs w:val="20"/>
                <w:lang w:eastAsia="ru-RU"/>
              </w:rPr>
              <w:t>ния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голени для купания, индивидуального изготовления, с обязательной приме</w:t>
            </w:r>
            <w:r w:rsidRPr="00D12B6E">
              <w:rPr>
                <w:rFonts w:eastAsia="Times New Roman"/>
                <w:szCs w:val="20"/>
                <w:lang w:eastAsia="ru-RU"/>
              </w:rPr>
              <w:t>р</w:t>
            </w:r>
            <w:r w:rsidRPr="00D12B6E">
              <w:rPr>
                <w:rFonts w:eastAsia="Times New Roman"/>
                <w:szCs w:val="20"/>
                <w:lang w:eastAsia="ru-RU"/>
              </w:rPr>
              <w:t>кой, а также обучением ходьбе на нем; гильза индивидуальная (изготовленная по и</w:t>
            </w:r>
            <w:r w:rsidRPr="00D12B6E">
              <w:rPr>
                <w:rFonts w:eastAsia="Times New Roman"/>
                <w:szCs w:val="20"/>
                <w:lang w:eastAsia="ru-RU"/>
              </w:rPr>
              <w:t>н</w:t>
            </w:r>
            <w:r w:rsidRPr="00D12B6E">
              <w:rPr>
                <w:rFonts w:eastAsia="Times New Roman"/>
                <w:szCs w:val="20"/>
                <w:lang w:eastAsia="ru-RU"/>
              </w:rPr>
              <w:t>дивидуальному слепку с культи инвалида). Количество приемных (про</w:t>
            </w:r>
            <w:r w:rsidRPr="00D12B6E">
              <w:rPr>
                <w:rFonts w:eastAsia="Times New Roman"/>
                <w:szCs w:val="20"/>
                <w:lang w:eastAsia="ru-RU"/>
              </w:rPr>
              <w:t>б</w:t>
            </w:r>
            <w:r w:rsidRPr="00D12B6E">
              <w:rPr>
                <w:rFonts w:eastAsia="Times New Roman"/>
                <w:szCs w:val="20"/>
                <w:lang w:eastAsia="ru-RU"/>
              </w:rPr>
              <w:t>ных) гильз: 1; постоянная гильза из литьевого слоистого пластика на основе акриловых смол; кре</w:t>
            </w:r>
            <w:r w:rsidRPr="00D12B6E">
              <w:rPr>
                <w:rFonts w:eastAsia="Times New Roman"/>
                <w:szCs w:val="20"/>
                <w:lang w:eastAsia="ru-RU"/>
              </w:rPr>
              <w:t>п</w:t>
            </w:r>
            <w:r w:rsidRPr="00D12B6E">
              <w:rPr>
                <w:rFonts w:eastAsia="Times New Roman"/>
                <w:szCs w:val="20"/>
                <w:lang w:eastAsia="ru-RU"/>
              </w:rPr>
              <w:t>ление пр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теза голени на инвалиде за счет 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наколенника; регулировочно-соединительные устройства на нагрузку до 100 кг, вод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стойкие. Стопа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бесшарнирная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>, монолитная, влагозащищенная, полиуретановая, с э</w:t>
            </w:r>
            <w:r w:rsidRPr="00D12B6E">
              <w:rPr>
                <w:rFonts w:eastAsia="Times New Roman"/>
                <w:szCs w:val="20"/>
                <w:lang w:eastAsia="ru-RU"/>
              </w:rPr>
              <w:t>ф</w:t>
            </w:r>
            <w:r w:rsidRPr="00D12B6E">
              <w:rPr>
                <w:rFonts w:eastAsia="Times New Roman"/>
                <w:szCs w:val="20"/>
                <w:lang w:eastAsia="ru-RU"/>
              </w:rPr>
              <w:t>фектом присасывания к скользким и мокрым поверхностям, с возможностью безопа</w:t>
            </w:r>
            <w:r w:rsidRPr="00D12B6E">
              <w:rPr>
                <w:rFonts w:eastAsia="Times New Roman"/>
                <w:szCs w:val="20"/>
                <w:lang w:eastAsia="ru-RU"/>
              </w:rPr>
              <w:t>с</w:t>
            </w:r>
            <w:r w:rsidRPr="00D12B6E">
              <w:rPr>
                <w:rFonts w:eastAsia="Times New Roman"/>
                <w:szCs w:val="20"/>
                <w:lang w:eastAsia="ru-RU"/>
              </w:rPr>
              <w:t>ного передвижения на протезе без обуви; тип протеза по назначению: специал</w:t>
            </w:r>
            <w:r w:rsidRPr="00D12B6E">
              <w:rPr>
                <w:rFonts w:eastAsia="Times New Roman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szCs w:val="20"/>
                <w:lang w:eastAsia="ru-RU"/>
              </w:rPr>
              <w:t>ный.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>Протез гол</w:t>
            </w:r>
            <w:r w:rsidRPr="00D12B6E">
              <w:rPr>
                <w:szCs w:val="20"/>
                <w:lang w:eastAsia="ru-RU"/>
              </w:rPr>
              <w:t>е</w:t>
            </w:r>
            <w:r w:rsidRPr="00D12B6E">
              <w:rPr>
                <w:szCs w:val="20"/>
                <w:lang w:eastAsia="ru-RU"/>
              </w:rPr>
              <w:t>ни нем</w:t>
            </w:r>
            <w:r w:rsidRPr="00D12B6E">
              <w:rPr>
                <w:szCs w:val="20"/>
                <w:lang w:eastAsia="ru-RU"/>
              </w:rPr>
              <w:t>о</w:t>
            </w:r>
            <w:r w:rsidRPr="00D12B6E">
              <w:rPr>
                <w:szCs w:val="20"/>
                <w:lang w:eastAsia="ru-RU"/>
              </w:rPr>
              <w:t>дульный, в том числе при вро</w:t>
            </w:r>
            <w:r w:rsidRPr="00D12B6E">
              <w:rPr>
                <w:szCs w:val="20"/>
                <w:lang w:eastAsia="ru-RU"/>
              </w:rPr>
              <w:t>ж</w:t>
            </w:r>
            <w:r w:rsidRPr="00D12B6E">
              <w:rPr>
                <w:szCs w:val="20"/>
                <w:lang w:eastAsia="ru-RU"/>
              </w:rPr>
              <w:t>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голени немодульный, индивидуального изготовления, с обязательной приме</w:t>
            </w:r>
            <w:r w:rsidRPr="00D12B6E">
              <w:rPr>
                <w:rFonts w:eastAsia="Times New Roman"/>
                <w:szCs w:val="20"/>
                <w:lang w:eastAsia="ru-RU"/>
              </w:rPr>
              <w:t>р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кой, а также обучением ходьбе на нем;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педические; гильза, изготовленная по типоразмерам, шаблонам. Постоянная гильза из кожи; крепление протеза голени на инвалиде поясное, с использованием кожаных п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луфабрикатов; стопа шарнирная полиуретановая, монолитная; тип протеза по назн</w:t>
            </w:r>
            <w:r w:rsidRPr="00D12B6E">
              <w:rPr>
                <w:rFonts w:eastAsia="Times New Roman"/>
                <w:szCs w:val="20"/>
                <w:lang w:eastAsia="ru-RU"/>
              </w:rPr>
              <w:t>а</w:t>
            </w:r>
            <w:r w:rsidRPr="00D12B6E">
              <w:rPr>
                <w:rFonts w:eastAsia="Times New Roman"/>
                <w:szCs w:val="20"/>
                <w:lang w:eastAsia="ru-RU"/>
              </w:rPr>
              <w:t>чению: постоя</w:t>
            </w:r>
            <w:r w:rsidRPr="00D12B6E">
              <w:rPr>
                <w:rFonts w:eastAsia="Times New Roman"/>
                <w:szCs w:val="20"/>
                <w:lang w:eastAsia="ru-RU"/>
              </w:rPr>
              <w:t>н</w:t>
            </w:r>
            <w:r w:rsidRPr="00D12B6E">
              <w:rPr>
                <w:rFonts w:eastAsia="Times New Roman"/>
                <w:szCs w:val="20"/>
                <w:lang w:eastAsia="ru-RU"/>
              </w:rPr>
              <w:t>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гол</w:t>
            </w:r>
            <w:r w:rsidRPr="00D12B6E">
              <w:rPr>
                <w:rFonts w:eastAsia="Times New Roman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szCs w:val="20"/>
                <w:lang w:eastAsia="ru-RU"/>
              </w:rPr>
              <w:t>ни модул</w:t>
            </w:r>
            <w:r w:rsidRPr="00D12B6E">
              <w:rPr>
                <w:rFonts w:eastAsia="Times New Roman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ный, в </w:t>
            </w: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>том числе при врожденном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 xml:space="preserve">Протез голени модульный с 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шинно-кожаным приемником</w:t>
            </w:r>
            <w:r w:rsidRPr="00D12B6E">
              <w:rPr>
                <w:rFonts w:eastAsia="Times New Roman"/>
                <w:szCs w:val="20"/>
                <w:lang w:eastAsia="ru-RU"/>
              </w:rPr>
              <w:t>, индивидуального изг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товления, с обязательной примеркой, а также обучением ходьбе на нем; о</w:t>
            </w:r>
            <w:r w:rsidRPr="00D12B6E">
              <w:rPr>
                <w:rFonts w:eastAsia="Times New Roman"/>
                <w:szCs w:val="20"/>
                <w:lang w:eastAsia="ru-RU"/>
              </w:rPr>
              <w:t>б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лицовка </w:t>
            </w: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 xml:space="preserve">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</w:t>
            </w:r>
            <w:r w:rsidRPr="00D12B6E">
              <w:rPr>
                <w:rFonts w:eastAsia="Times New Roman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szCs w:val="20"/>
                <w:lang w:eastAsia="ru-RU"/>
              </w:rPr>
              <w:t>ские; гильза индивидуальная (изготовленная по индивидуальному слепку с культи инв</w:t>
            </w:r>
            <w:r w:rsidRPr="00D12B6E">
              <w:rPr>
                <w:rFonts w:eastAsia="Times New Roman"/>
                <w:szCs w:val="20"/>
                <w:lang w:eastAsia="ru-RU"/>
              </w:rPr>
              <w:t>а</w:t>
            </w:r>
            <w:r w:rsidRPr="00D12B6E">
              <w:rPr>
                <w:rFonts w:eastAsia="Times New Roman"/>
                <w:szCs w:val="20"/>
                <w:lang w:eastAsia="ru-RU"/>
              </w:rPr>
              <w:t>лида). Постоянная гильза из кожи; крепление протеза голени на инвалиде поясное, с и</w:t>
            </w:r>
            <w:r w:rsidRPr="00D12B6E">
              <w:rPr>
                <w:rFonts w:eastAsia="Times New Roman"/>
                <w:szCs w:val="20"/>
                <w:lang w:eastAsia="ru-RU"/>
              </w:rPr>
              <w:t>с</w:t>
            </w:r>
            <w:r w:rsidRPr="00D12B6E">
              <w:rPr>
                <w:rFonts w:eastAsia="Times New Roman"/>
                <w:szCs w:val="20"/>
                <w:lang w:eastAsia="ru-RU"/>
              </w:rPr>
              <w:t>пользованием кожаных полуфабрикатов; регулировочно-соединительные устройства на нагрузку до 100 кг; стопа со средней степенью энергосбережения; тип протеза по назн</w:t>
            </w:r>
            <w:r w:rsidRPr="00D12B6E">
              <w:rPr>
                <w:rFonts w:eastAsia="Times New Roman"/>
                <w:szCs w:val="20"/>
                <w:lang w:eastAsia="ru-RU"/>
              </w:rPr>
              <w:t>а</w:t>
            </w:r>
            <w:r w:rsidRPr="00D12B6E">
              <w:rPr>
                <w:rFonts w:eastAsia="Times New Roman"/>
                <w:szCs w:val="20"/>
                <w:lang w:eastAsia="ru-RU"/>
              </w:rPr>
              <w:t>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lastRenderedPageBreak/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>Протез гол</w:t>
            </w:r>
            <w:r w:rsidRPr="00D12B6E">
              <w:rPr>
                <w:rFonts w:eastAsia="Times New Roman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szCs w:val="20"/>
                <w:lang w:eastAsia="ru-RU"/>
              </w:rPr>
              <w:t>ни модул</w:t>
            </w:r>
            <w:r w:rsidRPr="00D12B6E">
              <w:rPr>
                <w:rFonts w:eastAsia="Times New Roman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szCs w:val="20"/>
                <w:lang w:eastAsia="ru-RU"/>
              </w:rPr>
              <w:t>ный, в том числе при врожденном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голени модульного типа с приемником из </w:t>
            </w:r>
            <w:proofErr w:type="spellStart"/>
            <w:r w:rsidRPr="00D12B6E">
              <w:rPr>
                <w:rFonts w:eastAsia="Times New Roman"/>
                <w:b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и 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замковым устро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й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ством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 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высокофункциональной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стопой, индивидуального изготовления, с обязательной примеркой, а также обучением ходьбе на нем; облицовка мягкая полиуретановая (л</w:t>
            </w:r>
            <w:r w:rsidRPr="00D12B6E">
              <w:rPr>
                <w:rFonts w:eastAsia="Times New Roman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ортопедические; гильза и</w:t>
            </w:r>
            <w:r w:rsidRPr="00D12B6E">
              <w:rPr>
                <w:rFonts w:eastAsia="Times New Roman"/>
                <w:szCs w:val="20"/>
                <w:lang w:eastAsia="ru-RU"/>
              </w:rPr>
              <w:t>н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szCs w:val="20"/>
                <w:lang w:eastAsia="ru-RU"/>
              </w:rPr>
              <w:t>Кол</w:t>
            </w:r>
            <w:r w:rsidRPr="00D12B6E">
              <w:rPr>
                <w:rFonts w:eastAsia="Times New Roman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чество приемных (пробных) гильз: 1 шт.; постоянная гильза из литьевого слоистого пластика на основе акриловых смол; вкладная гильза из вспененных материалов, 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ч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 xml:space="preserve">хол полимерный </w:t>
            </w:r>
            <w:proofErr w:type="spellStart"/>
            <w:r w:rsidRPr="00D12B6E">
              <w:rPr>
                <w:rFonts w:eastAsia="Times New Roman"/>
                <w:b/>
                <w:szCs w:val="20"/>
                <w:lang w:eastAsia="ru-RU"/>
              </w:rPr>
              <w:t>гел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>вый</w:t>
            </w:r>
            <w:proofErr w:type="spellEnd"/>
            <w:r w:rsidRPr="00D12B6E">
              <w:rPr>
                <w:rFonts w:eastAsia="Times New Roman"/>
                <w:b/>
                <w:szCs w:val="20"/>
                <w:lang w:eastAsia="ru-RU"/>
              </w:rPr>
              <w:t xml:space="preserve"> с высоким уровнем стабилизации</w:t>
            </w:r>
            <w:r w:rsidRPr="00D12B6E">
              <w:rPr>
                <w:rFonts w:eastAsia="Times New Roman"/>
                <w:szCs w:val="20"/>
                <w:lang w:eastAsia="ru-RU"/>
              </w:rPr>
              <w:t>; крепление протеза голени на инвалиде с и</w:t>
            </w:r>
            <w:r w:rsidRPr="00D12B6E">
              <w:rPr>
                <w:rFonts w:eastAsia="Times New Roman"/>
                <w:szCs w:val="20"/>
                <w:lang w:eastAsia="ru-RU"/>
              </w:rPr>
              <w:t>с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пользованием замка для полимерных чехлов; регулировочно-соединительные устройства на нагрузку до 100 кг; стопа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высокофункциональная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>; тип протеза по назначению: пост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янный.</w:t>
            </w:r>
            <w:proofErr w:type="gramEnd"/>
            <w:r w:rsidRPr="00D12B6E">
              <w:rPr>
                <w:rFonts w:eastAsia="Times New Roman"/>
                <w:szCs w:val="20"/>
                <w:lang w:eastAsia="ru-RU"/>
              </w:rPr>
              <w:t xml:space="preserve">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Протез гол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ни модул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ный, в том числе при врожденном недоразв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Протез голени модульный с 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приемником из </w:t>
            </w:r>
            <w:proofErr w:type="spellStart"/>
            <w:r w:rsidRPr="00D12B6E">
              <w:rPr>
                <w:rFonts w:eastAsia="Times New Roman"/>
                <w:b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, индивидуального изготовл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ортоп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дические; гильза индивидуальная (изготовленная по индивидуальному слепку с кул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ти инвалида). </w:t>
            </w:r>
            <w:r w:rsidRPr="00D12B6E">
              <w:rPr>
                <w:rFonts w:eastAsia="Times New Roman"/>
                <w:szCs w:val="20"/>
                <w:lang w:eastAsia="ru-RU"/>
              </w:rPr>
              <w:t>Количество приемных (пробных) гильз: 1 шт.; постоянная гильза из л</w:t>
            </w:r>
            <w:r w:rsidRPr="00D12B6E">
              <w:rPr>
                <w:rFonts w:eastAsia="Times New Roman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szCs w:val="20"/>
                <w:lang w:eastAsia="ru-RU"/>
              </w:rPr>
              <w:t>тьевого слоистого пластика на основе акриловых смол; вкладная гильза из вспене</w:t>
            </w:r>
            <w:r w:rsidRPr="00D12B6E">
              <w:rPr>
                <w:rFonts w:eastAsia="Times New Roman"/>
                <w:szCs w:val="20"/>
                <w:lang w:eastAsia="ru-RU"/>
              </w:rPr>
              <w:t>н</w:t>
            </w:r>
            <w:r w:rsidRPr="00D12B6E">
              <w:rPr>
                <w:rFonts w:eastAsia="Times New Roman"/>
                <w:szCs w:val="20"/>
                <w:lang w:eastAsia="ru-RU"/>
              </w:rPr>
              <w:t>ных материалов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; крепл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ние протеза голени на инвалиде поясное, с использованием кожаных пол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у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фабрикатов; регулировочно-соединительные устройства на нагрузку до 120 кг; стопа со средней ст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пенью энергосбережения; тип протеза по назначению: постоянный. В комплекте 4 че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х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Протез гол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ни модул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ный, в том числе при врожденном недоразв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>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Протез голени модульного типа с приемником из </w:t>
            </w:r>
            <w:proofErr w:type="spellStart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,  индивидуального изг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товления, с обязательной примеркой, а также обучением ходьбе на нем; о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б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ортопед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и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Количество приемных (пробных) гильз: 1 шт.; постоянная гильза из литьевого слоистого пластика на основе акриловых смол; вкладная гильза из вспене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н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ных матери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а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лов, </w:t>
            </w:r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 xml:space="preserve">чехол полимерный </w:t>
            </w:r>
            <w:proofErr w:type="spellStart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гелевый</w:t>
            </w:r>
            <w:proofErr w:type="spellEnd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 xml:space="preserve"> с высоким уровнем стабилизации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; крепление протеза голени на инвалиде с использованием вакуумного клапана или замка для полимерных чехлов; регулировочно-соединительные устройства на нагру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з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ку до 120 кг; стопа с высокой  степенью энергосбережения, тип протеза по назнач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е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нию: постоянный.</w:t>
            </w:r>
            <w:proofErr w:type="gram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бедра для купания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бедра для купания, индивидуального изготовления, с обязательной примеркой, а также обучением ходьбе на нем, гильза индивидуальная (изготовленная по индивидуальному слепку с культи инвалида). Пробная приемная гильза по слепку из термопласта; постоянная приемная гильза по слепку из литьевого слоистого пластика на основе акриловых смол. Крепление протеза бедра на инвалиде за счет  вакуумного клапана. Стопа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бесшарнирная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, монолитная, влагозащищенная, полиуретановая, с эффектом присасывания к скользким и мокрым поверхностям, с возможностью безопасного передвижения на протезе без обуви. Коленный шарнир с замком, с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повышеннойподкосоустойчивостью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>, водостойкий, тип протеза по назначению: специальный.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бедра немодул</w:t>
            </w:r>
            <w:r w:rsidRPr="00D12B6E">
              <w:rPr>
                <w:rFonts w:eastAsia="Times New Roman"/>
                <w:szCs w:val="20"/>
                <w:lang w:eastAsia="ru-RU"/>
              </w:rPr>
              <w:t>ь</w:t>
            </w:r>
            <w:r w:rsidRPr="00D12B6E">
              <w:rPr>
                <w:rFonts w:eastAsia="Times New Roman"/>
                <w:szCs w:val="20"/>
                <w:lang w:eastAsia="ru-RU"/>
              </w:rPr>
              <w:t>ный, в том числе при врожденном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бедра немодульный,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Постоянная гильза из литьевого слоистого пластика на основе полиамидных смол или кожаная; крепление протеза бедра на инвалиде поясное, с использованием кожаных полуфабрикатов; регулировочно-соединительные устройства на нагрузку до 120 кг; стопа одноосная; коленный шарнир полицентрический, с «геометрическим замком»;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бедра модульный, в том числе при вро</w:t>
            </w:r>
            <w:r w:rsidRPr="00D12B6E">
              <w:rPr>
                <w:rFonts w:eastAsia="Times New Roman"/>
                <w:szCs w:val="20"/>
                <w:lang w:eastAsia="ru-RU"/>
              </w:rPr>
              <w:t>ж</w:t>
            </w:r>
            <w:r w:rsidRPr="00D12B6E">
              <w:rPr>
                <w:rFonts w:eastAsia="Times New Roman"/>
                <w:szCs w:val="20"/>
                <w:lang w:eastAsia="ru-RU"/>
              </w:rPr>
              <w:t>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бедра модульный с приемником из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szCs w:val="20"/>
                <w:lang w:eastAsia="ru-RU"/>
              </w:rPr>
              <w:t xml:space="preserve">Количество приемных (пробных) гильз: 1 шт.; постоянная гильза из литьевого слоистого пластика на основе акриловых смол; </w:t>
            </w:r>
            <w:r w:rsidRPr="00D12B6E">
              <w:rPr>
                <w:rFonts w:eastAsia="Times New Roman"/>
                <w:color w:val="000000"/>
                <w:szCs w:val="20"/>
                <w:lang w:eastAsia="ru-RU"/>
              </w:rPr>
              <w:t xml:space="preserve">крепление протеза бедра на </w:t>
            </w:r>
            <w:r w:rsidRPr="00D12B6E">
              <w:rPr>
                <w:rFonts w:eastAsia="Times New Roman"/>
                <w:color w:val="000000"/>
                <w:szCs w:val="20"/>
                <w:lang w:eastAsia="ru-RU"/>
              </w:rPr>
              <w:lastRenderedPageBreak/>
              <w:t>инвалиде индивидуальное; регулировочно-соединительные устройства на нагрузку до 100 кг; стопа со средней степенью энергосбережения; коленный шарнир</w:t>
            </w:r>
            <w:r w:rsidRPr="00D12B6E">
              <w:rPr>
                <w:rFonts w:eastAsia="Times New Roman"/>
                <w:szCs w:val="20"/>
                <w:lang w:eastAsia="ru-RU"/>
              </w:rPr>
              <w:t xml:space="preserve"> полицентрический, с «геометрическим замком», с зависимым механическим регулированием фаз сгибания-разгибания;  тип протеза по назначению: постоянный.</w:t>
            </w:r>
            <w:proofErr w:type="gramEnd"/>
            <w:r w:rsidRPr="00D12B6E">
              <w:rPr>
                <w:rFonts w:eastAsia="Times New Roman"/>
                <w:szCs w:val="20"/>
                <w:lang w:eastAsia="ru-RU"/>
              </w:rPr>
              <w:t xml:space="preserve">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lastRenderedPageBreak/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>Протез бедра модульный, в том числе при вро</w:t>
            </w:r>
            <w:r w:rsidRPr="00D12B6E">
              <w:rPr>
                <w:rFonts w:eastAsia="Times New Roman"/>
                <w:szCs w:val="20"/>
                <w:lang w:eastAsia="ru-RU"/>
              </w:rPr>
              <w:t>ж</w:t>
            </w:r>
            <w:r w:rsidRPr="00D12B6E">
              <w:rPr>
                <w:rFonts w:eastAsia="Times New Roman"/>
                <w:szCs w:val="20"/>
                <w:lang w:eastAsia="ru-RU"/>
              </w:rPr>
              <w:t>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 xml:space="preserve">бедра модульный с приемником из </w:t>
            </w:r>
            <w:proofErr w:type="spellStart"/>
            <w:r w:rsidRPr="00D12B6E">
              <w:rPr>
                <w:rFonts w:eastAsia="Times New Roman"/>
                <w:b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szCs w:val="20"/>
                <w:lang w:eastAsia="ru-RU"/>
              </w:rPr>
              <w:t xml:space="preserve">Количество приемных (пробных) гильз: 1 шт.; постоянная гильза из литьевого слоистого пластика на основе акриловых смол; </w:t>
            </w:r>
            <w:r w:rsidRPr="00D12B6E">
              <w:rPr>
                <w:rFonts w:eastAsia="Times New Roman"/>
                <w:b/>
                <w:szCs w:val="20"/>
                <w:lang w:eastAsia="ru-RU"/>
              </w:rPr>
              <w:t xml:space="preserve">чехол полимерный </w:t>
            </w:r>
            <w:proofErr w:type="spellStart"/>
            <w:r w:rsidRPr="00D12B6E">
              <w:rPr>
                <w:rFonts w:eastAsia="Times New Roman"/>
                <w:b/>
                <w:szCs w:val="20"/>
                <w:lang w:eastAsia="ru-RU"/>
              </w:rPr>
              <w:t>гелевый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с высоким уровнем стабилизации; крепление протеза бедра на инвалиде с использованием замка для полимерных чехлов; регулировочно-соединительные устройства на нагрузку до 120 кг; стопа энергосберегающая; коленный шарнир  полицентрический, с «геометрическим замком»</w:t>
            </w:r>
            <w:r w:rsidRPr="00D12B6E">
              <w:rPr>
                <w:rFonts w:eastAsia="Times New Roman"/>
                <w:color w:val="000000"/>
                <w:kern w:val="0"/>
                <w:szCs w:val="20"/>
                <w:lang w:eastAsia="ru-RU"/>
              </w:rPr>
              <w:t xml:space="preserve"> или без замка</w:t>
            </w:r>
            <w:r w:rsidRPr="00D12B6E">
              <w:rPr>
                <w:rFonts w:eastAsia="Times New Roman"/>
                <w:szCs w:val="20"/>
                <w:lang w:eastAsia="ru-RU"/>
              </w:rPr>
              <w:t>, с зависимым механическим регулированием фаз сгибания-разгибания;</w:t>
            </w:r>
            <w:proofErr w:type="gramEnd"/>
            <w:r w:rsidRPr="00D12B6E">
              <w:rPr>
                <w:rFonts w:eastAsia="Times New Roman"/>
                <w:szCs w:val="20"/>
                <w:lang w:eastAsia="ru-RU"/>
              </w:rPr>
              <w:t xml:space="preserve">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>Протез бедра модульный, в том числе при вро</w:t>
            </w:r>
            <w:r w:rsidRPr="00D12B6E">
              <w:rPr>
                <w:szCs w:val="20"/>
                <w:lang w:eastAsia="ru-RU"/>
              </w:rPr>
              <w:t>ж</w:t>
            </w:r>
            <w:r w:rsidRPr="00D12B6E">
              <w:rPr>
                <w:szCs w:val="20"/>
                <w:lang w:eastAsia="ru-RU"/>
              </w:rPr>
              <w:t>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Протез бедра модульный комбинированный с приемником из </w:t>
            </w:r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МПЛ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Количество приемных (пробных) гильз: 1 шт., постоянная гильза из литьевого слоистого пластика на основе полиамидных смол - 1 шт.; крепление протеза бедра на инвалиде поясное, с использованием кожаных полуфабрикатов; регулировочно-соединительные устройства на нагрузку до 100 кг; стопа со средней степенью энергосбережения; коленный шарнир полицентрический, с «геометрическим замком» или без замка, с зависимым механическим регулированием фаз сгибания-разгибания, материал - титан;</w:t>
            </w:r>
            <w:proofErr w:type="gram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>Протез бедра модульный, в том числе при вро</w:t>
            </w:r>
            <w:r w:rsidRPr="00D12B6E">
              <w:rPr>
                <w:szCs w:val="20"/>
                <w:lang w:eastAsia="ru-RU"/>
              </w:rPr>
              <w:t>ж</w:t>
            </w:r>
            <w:r w:rsidRPr="00D12B6E">
              <w:rPr>
                <w:szCs w:val="20"/>
                <w:lang w:eastAsia="ru-RU"/>
              </w:rPr>
              <w:t>денном недоразвитии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Протез бедра модульный с приемником из </w:t>
            </w:r>
            <w:proofErr w:type="spellStart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акрилона</w:t>
            </w:r>
            <w:proofErr w:type="spellEnd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,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Количество приемных (пробных) гильз: 1 шт.; постоянная гильза из литьевого слоистого пластика на основе акриловых смол - 1 шт.; </w:t>
            </w:r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 xml:space="preserve">чехол полимерный </w:t>
            </w:r>
            <w:proofErr w:type="spellStart"/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гелевый</w:t>
            </w:r>
            <w:proofErr w:type="spell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с высоким уровнем стабилизации; крепление протеза бедра на инвалиде с использованием замка для полимерных чехлов; регулировочно-соединительные устройства на нагрузку до 120 кг; </w:t>
            </w:r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стопа с высокой степенью энергосбережения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; </w:t>
            </w:r>
            <w:r w:rsidRPr="00D12B6E">
              <w:rPr>
                <w:rFonts w:eastAsia="Times New Roman"/>
                <w:b/>
                <w:kern w:val="0"/>
                <w:szCs w:val="20"/>
                <w:lang w:eastAsia="ru-RU"/>
              </w:rPr>
              <w:t>коленный шарнир полицентрический гидравлический с контролем фазы переноса и опоры</w:t>
            </w:r>
            <w:r w:rsidRPr="00D12B6E">
              <w:rPr>
                <w:rFonts w:eastAsia="Times New Roman"/>
                <w:kern w:val="0"/>
                <w:szCs w:val="20"/>
                <w:lang w:eastAsia="ru-RU"/>
              </w:rPr>
              <w:t>;</w:t>
            </w:r>
            <w:proofErr w:type="gramEnd"/>
            <w:r w:rsidRPr="00D12B6E">
              <w:rPr>
                <w:rFonts w:eastAsia="Times New Roman"/>
                <w:kern w:val="0"/>
                <w:szCs w:val="20"/>
                <w:lang w:eastAsia="ru-RU"/>
              </w:rPr>
              <w:t xml:space="preserve"> с поворотным устройством,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бедра лечебно-тренирово</w:t>
            </w:r>
            <w:r w:rsidRPr="00D12B6E">
              <w:rPr>
                <w:rFonts w:eastAsia="Times New Roman"/>
                <w:szCs w:val="20"/>
                <w:lang w:eastAsia="ru-RU"/>
              </w:rPr>
              <w:t>ч</w:t>
            </w:r>
            <w:r w:rsidRPr="00D12B6E">
              <w:rPr>
                <w:rFonts w:eastAsia="Times New Roman"/>
                <w:szCs w:val="20"/>
                <w:lang w:eastAsia="ru-RU"/>
              </w:rPr>
              <w:t>ный</w:t>
            </w:r>
          </w:p>
          <w:p w:rsidR="005B50FD" w:rsidRPr="00D12B6E" w:rsidRDefault="005B50FD" w:rsidP="00E4588F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kern w:val="0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 xml:space="preserve">Протез бедра лечебно-тренировочный,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Постоянная гильза из литьевого слоистого пластика на основе полиамидных смол; крепление протеза бедра на инвалиде поясное, с использованием кожаных полуфабрикатов; регулировочно-соединительные устройства на нагрузку до 100 кг; стопа со средней степенью энергосбережения; коленный шарнир механический, одноосный с «геометрическим замком»; тип протеза по назначению: специальный.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t>Протез при в</w:t>
            </w:r>
            <w:r w:rsidRPr="00D12B6E">
              <w:rPr>
                <w:rFonts w:eastAsia="Times New Roman"/>
                <w:szCs w:val="20"/>
                <w:lang w:eastAsia="ru-RU"/>
              </w:rPr>
              <w:t>ы</w:t>
            </w:r>
            <w:r w:rsidRPr="00D12B6E">
              <w:rPr>
                <w:rFonts w:eastAsia="Times New Roman"/>
                <w:szCs w:val="20"/>
                <w:lang w:eastAsia="ru-RU"/>
              </w:rPr>
              <w:t>членении бедра м</w:t>
            </w:r>
            <w:r w:rsidRPr="00D12B6E">
              <w:rPr>
                <w:rFonts w:eastAsia="Times New Roman"/>
                <w:szCs w:val="20"/>
                <w:lang w:eastAsia="ru-RU"/>
              </w:rPr>
              <w:t>о</w:t>
            </w:r>
            <w:r w:rsidRPr="00D12B6E">
              <w:rPr>
                <w:rFonts w:eastAsia="Times New Roman"/>
                <w:szCs w:val="20"/>
                <w:lang w:eastAsia="ru-RU"/>
              </w:rPr>
              <w:t>дульный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 xml:space="preserve">Протез при вычленении бедра модульный – протез после вычленения бедра в тазобедренном суставе модульный, косметическая облицовка мягкая полиуретановая </w:t>
            </w: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 xml:space="preserve">(листовой поролон), покрытие облицовки - чулок ортопедический. Приемная гильза индивидуальная, изготовленная по слепку с культи инвалида, одна пробная гильза. Приемная постоянная гильза из литьевого слоистого пластика на основе акриловых смол, вкладной элемент в приемной гильзе из вспененных материалов, крепление за счет формы приемной гильзы с использованием </w:t>
            </w:r>
            <w:proofErr w:type="spellStart"/>
            <w:r w:rsidRPr="00D12B6E">
              <w:rPr>
                <w:rFonts w:eastAsia="Times New Roman"/>
                <w:szCs w:val="20"/>
                <w:lang w:eastAsia="ru-RU"/>
              </w:rPr>
              <w:t>полукорсета</w:t>
            </w:r>
            <w:proofErr w:type="spellEnd"/>
            <w:r w:rsidRPr="00D12B6E">
              <w:rPr>
                <w:rFonts w:eastAsia="Times New Roman"/>
                <w:szCs w:val="20"/>
                <w:lang w:eastAsia="ru-RU"/>
              </w:rPr>
              <w:t>. РСУ соответствуют весу инвалида; стопа с голеностопным шарниром, подвижным в сагиттальной плоскости с амортизатором, для пациентов разного уровня активности. Коленный шарнир полицентрический гидравлический с контролем фазы переноса и опоры</w:t>
            </w:r>
            <w:proofErr w:type="gramStart"/>
            <w:r w:rsidRPr="00D12B6E">
              <w:rPr>
                <w:rFonts w:eastAsia="Times New Roman"/>
                <w:szCs w:val="20"/>
                <w:lang w:eastAsia="ru-RU"/>
              </w:rPr>
              <w:t>.</w:t>
            </w:r>
            <w:proofErr w:type="gramEnd"/>
            <w:r w:rsidRPr="00D12B6E">
              <w:rPr>
                <w:rFonts w:eastAsia="Times New Roman"/>
                <w:szCs w:val="20"/>
                <w:lang w:eastAsia="ru-RU"/>
              </w:rPr>
              <w:t xml:space="preserve"> </w:t>
            </w:r>
            <w:proofErr w:type="gramStart"/>
            <w:r w:rsidRPr="00D12B6E">
              <w:rPr>
                <w:rFonts w:eastAsia="Times New Roman"/>
                <w:szCs w:val="20"/>
                <w:lang w:eastAsia="ru-RU"/>
              </w:rPr>
              <w:t>т</w:t>
            </w:r>
            <w:proofErr w:type="gramEnd"/>
            <w:r w:rsidRPr="00D12B6E">
              <w:rPr>
                <w:rFonts w:eastAsia="Times New Roman"/>
                <w:szCs w:val="20"/>
                <w:lang w:eastAsia="ru-RU"/>
              </w:rPr>
              <w:t>азобедренный шарнир моноцентрический с внутренним разгибателем. Тип протеза по назначению – постоянный.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lastRenderedPageBreak/>
              <w:t>ШТ</w:t>
            </w:r>
            <w:proofErr w:type="gramEnd"/>
          </w:p>
        </w:tc>
      </w:tr>
      <w:tr w:rsidR="005B50FD" w:rsidRPr="008871CA" w:rsidTr="005B50FD">
        <w:tc>
          <w:tcPr>
            <w:tcW w:w="1668" w:type="dxa"/>
          </w:tcPr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rFonts w:eastAsia="Times New Roman"/>
                <w:szCs w:val="20"/>
                <w:lang w:eastAsia="ru-RU"/>
              </w:rPr>
              <w:lastRenderedPageBreak/>
              <w:t>Протез бедра модульный с микропроце</w:t>
            </w:r>
            <w:r w:rsidRPr="00D12B6E">
              <w:rPr>
                <w:rFonts w:eastAsia="Times New Roman"/>
                <w:szCs w:val="20"/>
                <w:lang w:eastAsia="ru-RU"/>
              </w:rPr>
              <w:t>с</w:t>
            </w:r>
            <w:r w:rsidRPr="00D12B6E">
              <w:rPr>
                <w:rFonts w:eastAsia="Times New Roman"/>
                <w:szCs w:val="20"/>
                <w:lang w:eastAsia="ru-RU"/>
              </w:rPr>
              <w:t>сорным упра</w:t>
            </w:r>
            <w:r w:rsidRPr="00D12B6E">
              <w:rPr>
                <w:rFonts w:eastAsia="Times New Roman"/>
                <w:szCs w:val="20"/>
                <w:lang w:eastAsia="ru-RU"/>
              </w:rPr>
              <w:t>в</w:t>
            </w:r>
            <w:r w:rsidRPr="00D12B6E">
              <w:rPr>
                <w:rFonts w:eastAsia="Times New Roman"/>
                <w:szCs w:val="20"/>
                <w:lang w:eastAsia="ru-RU"/>
              </w:rPr>
              <w:t>лением</w:t>
            </w:r>
          </w:p>
          <w:p w:rsidR="005B50FD" w:rsidRPr="00D12B6E" w:rsidRDefault="005B50FD" w:rsidP="00E4588F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5B50FD" w:rsidRPr="00D12B6E" w:rsidRDefault="005B50FD" w:rsidP="00E4588F">
            <w:pPr>
              <w:spacing w:after="200" w:line="276" w:lineRule="auto"/>
              <w:rPr>
                <w:rFonts w:eastAsia="Times New Roman"/>
                <w:szCs w:val="20"/>
                <w:lang w:eastAsia="ru-RU"/>
              </w:rPr>
            </w:pPr>
            <w:r w:rsidRPr="00D12B6E">
              <w:rPr>
                <w:szCs w:val="20"/>
                <w:lang w:eastAsia="ru-RU"/>
              </w:rPr>
              <w:t xml:space="preserve">Протез бедра модульный с внешним источником энергии, индивидуального изготовления, с обязательной примеркой, а также обучением ходьбе на нем; облицовка мягкая полиуретановая, покрытие облицовки - чулки </w:t>
            </w:r>
            <w:proofErr w:type="spellStart"/>
            <w:r w:rsidRPr="00D12B6E">
              <w:rPr>
                <w:szCs w:val="20"/>
                <w:lang w:eastAsia="ru-RU"/>
              </w:rPr>
              <w:t>силоновые</w:t>
            </w:r>
            <w:proofErr w:type="spellEnd"/>
            <w:r w:rsidRPr="00D12B6E">
              <w:rPr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инвалида). </w:t>
            </w:r>
            <w:proofErr w:type="gramStart"/>
            <w:r w:rsidRPr="00D12B6E">
              <w:rPr>
                <w:szCs w:val="20"/>
                <w:lang w:eastAsia="ru-RU"/>
              </w:rPr>
              <w:t xml:space="preserve">Количество приемных (пробных) гильз: 1 шт.; постоянная гильза из литьевого слоистого пластика на основе акриловых смол; чехол полимерный </w:t>
            </w:r>
            <w:proofErr w:type="spellStart"/>
            <w:r w:rsidRPr="00D12B6E">
              <w:rPr>
                <w:szCs w:val="20"/>
                <w:lang w:eastAsia="ru-RU"/>
              </w:rPr>
              <w:t>гелевый</w:t>
            </w:r>
            <w:proofErr w:type="spellEnd"/>
            <w:r w:rsidRPr="00D12B6E">
              <w:rPr>
                <w:szCs w:val="20"/>
                <w:lang w:eastAsia="ru-RU"/>
              </w:rPr>
              <w:t xml:space="preserve"> с высоким уровнем стабилизации; крепление протеза бедра на инвалиде с использованием замка для полимерных чехлов; регулировочно-соединительные устройства на нагрузку до 120 кг; стопа с высокой степенью энергосбережения;  коленный модуль с микропроцессорным управлением гибридным </w:t>
            </w:r>
            <w:proofErr w:type="spellStart"/>
            <w:r w:rsidRPr="00D12B6E">
              <w:rPr>
                <w:szCs w:val="20"/>
                <w:lang w:eastAsia="ru-RU"/>
              </w:rPr>
              <w:t>гидравлико</w:t>
            </w:r>
            <w:proofErr w:type="spellEnd"/>
            <w:r w:rsidRPr="00D12B6E">
              <w:rPr>
                <w:szCs w:val="20"/>
                <w:lang w:eastAsia="ru-RU"/>
              </w:rPr>
              <w:t>-пневматическим цилиндром и интеллектуальным управлением скоростного перемещения.</w:t>
            </w:r>
            <w:proofErr w:type="gramEnd"/>
            <w:r w:rsidRPr="00D12B6E">
              <w:rPr>
                <w:szCs w:val="20"/>
                <w:lang w:eastAsia="ru-RU"/>
              </w:rPr>
              <w:t xml:space="preserve"> Тип протеза по назначению: постоянный. В комплекте 4 чехла.</w:t>
            </w:r>
          </w:p>
        </w:tc>
        <w:tc>
          <w:tcPr>
            <w:tcW w:w="1134" w:type="dxa"/>
          </w:tcPr>
          <w:p w:rsidR="005B50FD" w:rsidRDefault="005B50FD" w:rsidP="005B50FD">
            <w:pPr>
              <w:jc w:val="center"/>
            </w:pPr>
            <w:proofErr w:type="gramStart"/>
            <w:r w:rsidRPr="00841E7B">
              <w:rPr>
                <w:szCs w:val="20"/>
              </w:rPr>
              <w:t>ШТ</w:t>
            </w:r>
            <w:proofErr w:type="gramEnd"/>
          </w:p>
        </w:tc>
      </w:tr>
    </w:tbl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Выполнить работы по настоящему Контракту и передать их результат непосредственно Получателю в срок, предусмотренный Описанием объекта закупки, при представлении им паспорта и Направления, выдаваемого Заказч</w:t>
      </w:r>
      <w:r w:rsidRPr="00D4346F">
        <w:rPr>
          <w:rFonts w:ascii="Times New Roman" w:hAnsi="Times New Roman" w:cs="Times New Roman"/>
          <w:sz w:val="20"/>
          <w:szCs w:val="20"/>
          <w:u w:val="single"/>
        </w:rPr>
        <w:t>и</w:t>
      </w:r>
      <w:r w:rsidRPr="00D4346F">
        <w:rPr>
          <w:rFonts w:ascii="Times New Roman" w:hAnsi="Times New Roman" w:cs="Times New Roman"/>
          <w:sz w:val="20"/>
          <w:szCs w:val="20"/>
          <w:u w:val="single"/>
        </w:rPr>
        <w:t>ком.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Выполнять работы и выдать Получателям изделия в срок не более 60 (шестидесяти) календарных дней, и не позднее 15.09.2024 г.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Выполнение работ осуществляется по индивидуальным заказам Получателей.</w:t>
      </w:r>
    </w:p>
    <w:p w:rsidR="00D4346F" w:rsidRP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>Обеспечение и выдача изделий осуществляется на территории Псковской области, по месту нахождения и/или жительства Получателя либо по месту нахождения пункта выдачи.</w:t>
      </w:r>
    </w:p>
    <w:p w:rsid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D4346F">
        <w:rPr>
          <w:rFonts w:ascii="Times New Roman" w:hAnsi="Times New Roman" w:cs="Times New Roman"/>
          <w:sz w:val="20"/>
          <w:szCs w:val="20"/>
          <w:u w:val="single"/>
        </w:rPr>
        <w:t xml:space="preserve">Срок действия Контракта - </w:t>
      </w:r>
      <w:proofErr w:type="gramStart"/>
      <w:r w:rsidRPr="00D4346F">
        <w:rPr>
          <w:rFonts w:ascii="Times New Roman" w:hAnsi="Times New Roman" w:cs="Times New Roman"/>
          <w:sz w:val="20"/>
          <w:szCs w:val="20"/>
          <w:u w:val="single"/>
        </w:rPr>
        <w:t>с даты</w:t>
      </w:r>
      <w:proofErr w:type="gramEnd"/>
      <w:r w:rsidRPr="00D4346F">
        <w:rPr>
          <w:rFonts w:ascii="Times New Roman" w:hAnsi="Times New Roman" w:cs="Times New Roman"/>
          <w:sz w:val="20"/>
          <w:szCs w:val="20"/>
          <w:u w:val="single"/>
        </w:rPr>
        <w:t xml:space="preserve"> его заключения до выполнения полного объема обязательств, но не позднее  30.09.2024 года.</w:t>
      </w:r>
    </w:p>
    <w:p w:rsidR="00D4346F" w:rsidRDefault="00D4346F" w:rsidP="00D4346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5DF9" w:rsidRPr="008871CA" w:rsidRDefault="00C85DF9" w:rsidP="00C85DF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5DF9" w:rsidRPr="008871CA" w:rsidSect="005B50FD">
      <w:footerReference w:type="default" r:id="rId9"/>
      <w:pgSz w:w="11906" w:h="16838"/>
      <w:pgMar w:top="567" w:right="567" w:bottom="28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A9" w:rsidRDefault="00A216A9">
      <w:r>
        <w:separator/>
      </w:r>
    </w:p>
  </w:endnote>
  <w:endnote w:type="continuationSeparator" w:id="0">
    <w:p w:rsidR="00A216A9" w:rsidRDefault="00A2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8F" w:rsidRDefault="00E4588F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A9" w:rsidRDefault="00A216A9">
      <w:r>
        <w:rPr>
          <w:color w:val="000000"/>
        </w:rPr>
        <w:separator/>
      </w:r>
    </w:p>
  </w:footnote>
  <w:footnote w:type="continuationSeparator" w:id="0">
    <w:p w:rsidR="00A216A9" w:rsidRDefault="00A2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ABA"/>
    <w:multiLevelType w:val="multilevel"/>
    <w:tmpl w:val="CFE879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026299"/>
    <w:multiLevelType w:val="multilevel"/>
    <w:tmpl w:val="973452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5F088A"/>
    <w:multiLevelType w:val="multilevel"/>
    <w:tmpl w:val="A9747B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34661D"/>
    <w:multiLevelType w:val="multilevel"/>
    <w:tmpl w:val="836E914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C7D7FF3"/>
    <w:multiLevelType w:val="multilevel"/>
    <w:tmpl w:val="B0F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36484"/>
    <w:multiLevelType w:val="multilevel"/>
    <w:tmpl w:val="B94A03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4E2350B"/>
    <w:multiLevelType w:val="multilevel"/>
    <w:tmpl w:val="2D18500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66C34BC"/>
    <w:multiLevelType w:val="multilevel"/>
    <w:tmpl w:val="7DAEFFC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6DB5886"/>
    <w:multiLevelType w:val="multilevel"/>
    <w:tmpl w:val="96D8882E"/>
    <w:styleLink w:val="WWOutlineListStyle9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-"/>
      <w:lvlText w:val="%4."/>
      <w:lvlJc w:val="left"/>
      <w:pPr>
        <w:ind w:left="288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41507C6"/>
    <w:multiLevelType w:val="multilevel"/>
    <w:tmpl w:val="E1A4040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5034747"/>
    <w:multiLevelType w:val="multilevel"/>
    <w:tmpl w:val="5EFC3D9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9"/>
    <w:rsid w:val="000016DC"/>
    <w:rsid w:val="000049C4"/>
    <w:rsid w:val="0001214F"/>
    <w:rsid w:val="00040322"/>
    <w:rsid w:val="00060B48"/>
    <w:rsid w:val="00073FCD"/>
    <w:rsid w:val="000830B4"/>
    <w:rsid w:val="00097AA9"/>
    <w:rsid w:val="000F47E7"/>
    <w:rsid w:val="000F6954"/>
    <w:rsid w:val="00105999"/>
    <w:rsid w:val="00113400"/>
    <w:rsid w:val="00117B39"/>
    <w:rsid w:val="001340DB"/>
    <w:rsid w:val="0014117B"/>
    <w:rsid w:val="001B535B"/>
    <w:rsid w:val="001B61AA"/>
    <w:rsid w:val="001D0A7F"/>
    <w:rsid w:val="001D3476"/>
    <w:rsid w:val="001E4B60"/>
    <w:rsid w:val="00204035"/>
    <w:rsid w:val="0023714C"/>
    <w:rsid w:val="00244CB5"/>
    <w:rsid w:val="0024673A"/>
    <w:rsid w:val="00256434"/>
    <w:rsid w:val="0029509D"/>
    <w:rsid w:val="002B46B2"/>
    <w:rsid w:val="002C3066"/>
    <w:rsid w:val="002C7F93"/>
    <w:rsid w:val="002E2BB0"/>
    <w:rsid w:val="002E59C2"/>
    <w:rsid w:val="00301863"/>
    <w:rsid w:val="00312443"/>
    <w:rsid w:val="0031662C"/>
    <w:rsid w:val="00316DCE"/>
    <w:rsid w:val="00321FA2"/>
    <w:rsid w:val="00334404"/>
    <w:rsid w:val="00372B30"/>
    <w:rsid w:val="003765D3"/>
    <w:rsid w:val="00380A9F"/>
    <w:rsid w:val="003917EA"/>
    <w:rsid w:val="003A4B50"/>
    <w:rsid w:val="003A5262"/>
    <w:rsid w:val="003E426A"/>
    <w:rsid w:val="00420878"/>
    <w:rsid w:val="004213F4"/>
    <w:rsid w:val="00422030"/>
    <w:rsid w:val="00450E8A"/>
    <w:rsid w:val="00481764"/>
    <w:rsid w:val="004A1D35"/>
    <w:rsid w:val="004C0F58"/>
    <w:rsid w:val="004F1F7E"/>
    <w:rsid w:val="00506358"/>
    <w:rsid w:val="005262E6"/>
    <w:rsid w:val="00526341"/>
    <w:rsid w:val="00531CAE"/>
    <w:rsid w:val="00555FD4"/>
    <w:rsid w:val="00557742"/>
    <w:rsid w:val="00562701"/>
    <w:rsid w:val="00567A8E"/>
    <w:rsid w:val="00576E85"/>
    <w:rsid w:val="005820B4"/>
    <w:rsid w:val="005872F2"/>
    <w:rsid w:val="005879F8"/>
    <w:rsid w:val="00595218"/>
    <w:rsid w:val="005B50FD"/>
    <w:rsid w:val="005B6A43"/>
    <w:rsid w:val="005E2CF4"/>
    <w:rsid w:val="005E62E6"/>
    <w:rsid w:val="005F1E6F"/>
    <w:rsid w:val="005F2717"/>
    <w:rsid w:val="005F4EAE"/>
    <w:rsid w:val="005F68F3"/>
    <w:rsid w:val="0061294B"/>
    <w:rsid w:val="006343A4"/>
    <w:rsid w:val="00652ECF"/>
    <w:rsid w:val="00676199"/>
    <w:rsid w:val="00686645"/>
    <w:rsid w:val="006B14C9"/>
    <w:rsid w:val="006B1F30"/>
    <w:rsid w:val="006C0024"/>
    <w:rsid w:val="006E007F"/>
    <w:rsid w:val="006E42B7"/>
    <w:rsid w:val="006E7738"/>
    <w:rsid w:val="00702B05"/>
    <w:rsid w:val="00730E6C"/>
    <w:rsid w:val="00733803"/>
    <w:rsid w:val="00741559"/>
    <w:rsid w:val="00797F42"/>
    <w:rsid w:val="007A0B12"/>
    <w:rsid w:val="007A2DA3"/>
    <w:rsid w:val="007B176F"/>
    <w:rsid w:val="007B5D16"/>
    <w:rsid w:val="007D4034"/>
    <w:rsid w:val="008151DA"/>
    <w:rsid w:val="00830A83"/>
    <w:rsid w:val="008352D8"/>
    <w:rsid w:val="008721A0"/>
    <w:rsid w:val="008871CA"/>
    <w:rsid w:val="008A070C"/>
    <w:rsid w:val="008A1AAD"/>
    <w:rsid w:val="008B48AB"/>
    <w:rsid w:val="008E4E03"/>
    <w:rsid w:val="00905655"/>
    <w:rsid w:val="00911DF0"/>
    <w:rsid w:val="00921218"/>
    <w:rsid w:val="00921C37"/>
    <w:rsid w:val="00921DFC"/>
    <w:rsid w:val="00952FE7"/>
    <w:rsid w:val="00960923"/>
    <w:rsid w:val="00984719"/>
    <w:rsid w:val="009C4EE4"/>
    <w:rsid w:val="009D7BD2"/>
    <w:rsid w:val="00A02CDC"/>
    <w:rsid w:val="00A06AC6"/>
    <w:rsid w:val="00A10037"/>
    <w:rsid w:val="00A14441"/>
    <w:rsid w:val="00A216A9"/>
    <w:rsid w:val="00A254F6"/>
    <w:rsid w:val="00A26BBC"/>
    <w:rsid w:val="00A556D1"/>
    <w:rsid w:val="00A56279"/>
    <w:rsid w:val="00A84853"/>
    <w:rsid w:val="00A8545F"/>
    <w:rsid w:val="00A86116"/>
    <w:rsid w:val="00A9786C"/>
    <w:rsid w:val="00AA1201"/>
    <w:rsid w:val="00AB2134"/>
    <w:rsid w:val="00AC7B09"/>
    <w:rsid w:val="00AE0440"/>
    <w:rsid w:val="00AE423C"/>
    <w:rsid w:val="00AE7BBA"/>
    <w:rsid w:val="00AF2A09"/>
    <w:rsid w:val="00B10764"/>
    <w:rsid w:val="00B111CF"/>
    <w:rsid w:val="00B2679B"/>
    <w:rsid w:val="00B7635D"/>
    <w:rsid w:val="00B76419"/>
    <w:rsid w:val="00BB3B32"/>
    <w:rsid w:val="00BD3D7E"/>
    <w:rsid w:val="00BD4A7A"/>
    <w:rsid w:val="00C224E0"/>
    <w:rsid w:val="00C3322E"/>
    <w:rsid w:val="00C37CB4"/>
    <w:rsid w:val="00C4407F"/>
    <w:rsid w:val="00C565BE"/>
    <w:rsid w:val="00C6283E"/>
    <w:rsid w:val="00C710B6"/>
    <w:rsid w:val="00C85DF9"/>
    <w:rsid w:val="00C92AAC"/>
    <w:rsid w:val="00CC7543"/>
    <w:rsid w:val="00CE1938"/>
    <w:rsid w:val="00D05674"/>
    <w:rsid w:val="00D106DB"/>
    <w:rsid w:val="00D14319"/>
    <w:rsid w:val="00D15638"/>
    <w:rsid w:val="00D16347"/>
    <w:rsid w:val="00D21480"/>
    <w:rsid w:val="00D32ABF"/>
    <w:rsid w:val="00D35C98"/>
    <w:rsid w:val="00D4346F"/>
    <w:rsid w:val="00DA109A"/>
    <w:rsid w:val="00DA3B61"/>
    <w:rsid w:val="00DA79A1"/>
    <w:rsid w:val="00DB6C98"/>
    <w:rsid w:val="00DC3272"/>
    <w:rsid w:val="00DD659C"/>
    <w:rsid w:val="00DD661F"/>
    <w:rsid w:val="00DE4C70"/>
    <w:rsid w:val="00E12795"/>
    <w:rsid w:val="00E17297"/>
    <w:rsid w:val="00E32328"/>
    <w:rsid w:val="00E36BD9"/>
    <w:rsid w:val="00E40130"/>
    <w:rsid w:val="00E4588F"/>
    <w:rsid w:val="00E545B1"/>
    <w:rsid w:val="00E5487A"/>
    <w:rsid w:val="00E55BC8"/>
    <w:rsid w:val="00E65100"/>
    <w:rsid w:val="00E83673"/>
    <w:rsid w:val="00E91A47"/>
    <w:rsid w:val="00E92067"/>
    <w:rsid w:val="00EA7EE8"/>
    <w:rsid w:val="00EC7FEF"/>
    <w:rsid w:val="00EE2D5E"/>
    <w:rsid w:val="00F20708"/>
    <w:rsid w:val="00F41AF6"/>
    <w:rsid w:val="00F64051"/>
    <w:rsid w:val="00F93789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9">
    <w:name w:val="WW_OutlineListStyle_9"/>
    <w:basedOn w:val="a2"/>
    <w:pPr>
      <w:numPr>
        <w:numId w:val="1"/>
      </w:numPr>
    </w:pPr>
  </w:style>
  <w:style w:type="paragraph" w:customStyle="1" w:styleId="-">
    <w:name w:val="Контракт-раздел"/>
    <w:basedOn w:val="a"/>
    <w:next w:val="-0"/>
    <w:pPr>
      <w:keepNext/>
      <w:widowControl/>
      <w:numPr>
        <w:ilvl w:val="3"/>
        <w:numId w:val="1"/>
      </w:numPr>
      <w:tabs>
        <w:tab w:val="left" w:pos="31516"/>
      </w:tabs>
      <w:spacing w:before="360" w:after="120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ar-SA"/>
    </w:rPr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7">
    <w:name w:val="Normal (Web)"/>
    <w:basedOn w:val="Standard"/>
    <w:uiPriority w:val="99"/>
  </w:style>
  <w:style w:type="paragraph" w:styleId="a8">
    <w:name w:val="footnote text"/>
    <w:basedOn w:val="Standard"/>
    <w:pPr>
      <w:spacing w:after="60"/>
      <w:jc w:val="both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Standard"/>
    <w:rPr>
      <w:szCs w:val="20"/>
    </w:rPr>
  </w:style>
  <w:style w:type="paragraph" w:customStyle="1" w:styleId="2">
    <w:name w:val="Обычный2"/>
    <w:pPr>
      <w:shd w:val="clear" w:color="auto" w:fill="FFFFFF"/>
      <w:suppressAutoHyphens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Standard"/>
    <w:rPr>
      <w:szCs w:val="20"/>
    </w:rPr>
  </w:style>
  <w:style w:type="paragraph" w:styleId="a9">
    <w:name w:val="No Spacing"/>
    <w:uiPriority w:val="1"/>
    <w:qFormat/>
    <w:pPr>
      <w:widowControl/>
      <w:suppressAutoHyphens/>
    </w:pPr>
    <w:rPr>
      <w:rFonts w:eastAsia="Times New Roman" w:cs="Times New Roman"/>
      <w:lang w:eastAsia="ru-RU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Standard"/>
    <w:pPr>
      <w:tabs>
        <w:tab w:val="left" w:pos="1702"/>
        <w:tab w:val="left" w:pos="2291"/>
      </w:tabs>
      <w:ind w:left="851" w:hanging="851"/>
      <w:jc w:val="both"/>
    </w:p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210">
    <w:name w:val="Основной текст с отступом 21"/>
    <w:basedOn w:val="Standard"/>
    <w:pPr>
      <w:keepNext/>
      <w:ind w:firstLine="567"/>
      <w:jc w:val="both"/>
    </w:pPr>
    <w:rPr>
      <w:rFonts w:eastAsia="Lucida Sans Unicode"/>
      <w:sz w:val="28"/>
      <w:lang w:eastAsia="ar-SA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  <w:lang w:val="en-US" w:eastAsia="en-US"/>
    </w:rPr>
  </w:style>
  <w:style w:type="paragraph" w:styleId="aa">
    <w:name w:val="Balloon Text"/>
    <w:basedOn w:val="Standard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Основной текст 2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/>
      <w:sz w:val="18"/>
    </w:rPr>
  </w:style>
  <w:style w:type="character" w:customStyle="1" w:styleId="af1">
    <w:name w:val="Обычный (веб)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T41">
    <w:name w:val="T41"/>
    <w:rPr>
      <w:rFonts w:ascii="Times New Roman" w:hAnsi="Times New Roman"/>
      <w:color w:val="000000"/>
      <w:spacing w:val="-2"/>
      <w:sz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1">
    <w:name w:val="Основной текст с отступом Знак1"/>
    <w:basedOn w:val="a0"/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eastAsia="ru-RU"/>
    </w:rPr>
  </w:style>
  <w:style w:type="paragraph" w:customStyle="1" w:styleId="af5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suppressAutoHyphens w:val="0"/>
      <w:autoSpaceDE w:val="0"/>
      <w:spacing w:line="235" w:lineRule="exact"/>
      <w:ind w:firstLine="91"/>
      <w:textAlignment w:val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OutlineListStyle8">
    <w:name w:val="WW_OutlineListStyle_8"/>
    <w:basedOn w:val="a2"/>
    <w:pPr>
      <w:numPr>
        <w:numId w:val="2"/>
      </w:numPr>
    </w:pPr>
  </w:style>
  <w:style w:type="numbering" w:customStyle="1" w:styleId="WWOutlineListStyle7">
    <w:name w:val="WW_OutlineListStyle_7"/>
    <w:basedOn w:val="a2"/>
    <w:pPr>
      <w:numPr>
        <w:numId w:val="3"/>
      </w:numPr>
    </w:pPr>
  </w:style>
  <w:style w:type="numbering" w:customStyle="1" w:styleId="WWOutlineListStyle6">
    <w:name w:val="WW_OutlineListStyle_6"/>
    <w:basedOn w:val="a2"/>
    <w:pPr>
      <w:numPr>
        <w:numId w:val="4"/>
      </w:numPr>
    </w:pPr>
  </w:style>
  <w:style w:type="numbering" w:customStyle="1" w:styleId="WWOutlineListStyle5">
    <w:name w:val="WW_OutlineListStyle_5"/>
    <w:basedOn w:val="a2"/>
    <w:pPr>
      <w:numPr>
        <w:numId w:val="5"/>
      </w:numPr>
    </w:pPr>
  </w:style>
  <w:style w:type="numbering" w:customStyle="1" w:styleId="WWOutlineListStyle4">
    <w:name w:val="WW_OutlineListStyle_4"/>
    <w:basedOn w:val="a2"/>
    <w:pPr>
      <w:numPr>
        <w:numId w:val="6"/>
      </w:numPr>
    </w:pPr>
  </w:style>
  <w:style w:type="numbering" w:customStyle="1" w:styleId="WWOutlineListStyle3">
    <w:name w:val="WW_OutlineListStyle_3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paragraph" w:customStyle="1" w:styleId="10">
    <w:name w:val="Без интервала1"/>
    <w:rsid w:val="0031662C"/>
    <w:pPr>
      <w:widowControl/>
      <w:suppressAutoHyphens/>
      <w:autoSpaceDN/>
      <w:spacing w:line="100" w:lineRule="atLeast"/>
      <w:textAlignment w:val="auto"/>
    </w:pPr>
    <w:rPr>
      <w:kern w:val="0"/>
      <w:lang w:eastAsia="ar-SA"/>
    </w:rPr>
  </w:style>
  <w:style w:type="character" w:styleId="af6">
    <w:name w:val="Hyperlink"/>
    <w:basedOn w:val="a0"/>
    <w:uiPriority w:val="99"/>
    <w:unhideWhenUsed/>
    <w:rsid w:val="007A0B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567A8E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редняя сетка 2 Знак"/>
    <w:link w:val="23"/>
    <w:uiPriority w:val="1"/>
    <w:rsid w:val="00C85DF9"/>
    <w:rPr>
      <w:rFonts w:ascii="Times New Roman" w:eastAsia="Times New Roman" w:hAnsi="Times New Roman"/>
      <w:sz w:val="24"/>
      <w:szCs w:val="24"/>
      <w:lang w:bidi="ar-SA"/>
    </w:rPr>
  </w:style>
  <w:style w:type="table" w:styleId="23">
    <w:name w:val="Medium Grid 2"/>
    <w:basedOn w:val="a1"/>
    <w:link w:val="20"/>
    <w:uiPriority w:val="1"/>
    <w:rsid w:val="00C85DF9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4">
    <w:name w:val="Body Text Indent 2"/>
    <w:basedOn w:val="a"/>
    <w:link w:val="25"/>
    <w:uiPriority w:val="99"/>
    <w:semiHidden/>
    <w:unhideWhenUsed/>
    <w:rsid w:val="00C85D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5DF9"/>
  </w:style>
  <w:style w:type="character" w:styleId="af8">
    <w:name w:val="Strong"/>
    <w:basedOn w:val="a0"/>
    <w:uiPriority w:val="22"/>
    <w:qFormat/>
    <w:rsid w:val="00C85DF9"/>
    <w:rPr>
      <w:b/>
      <w:bCs/>
    </w:rPr>
  </w:style>
  <w:style w:type="character" w:customStyle="1" w:styleId="11">
    <w:name w:val="Основной шрифт абзаца1"/>
    <w:rsid w:val="00C85DF9"/>
  </w:style>
  <w:style w:type="paragraph" w:styleId="af9">
    <w:name w:val="Body Text"/>
    <w:basedOn w:val="a"/>
    <w:link w:val="12"/>
    <w:uiPriority w:val="99"/>
    <w:semiHidden/>
    <w:unhideWhenUsed/>
    <w:rsid w:val="00C85DF9"/>
    <w:pPr>
      <w:spacing w:after="120"/>
    </w:pPr>
  </w:style>
  <w:style w:type="character" w:customStyle="1" w:styleId="12">
    <w:name w:val="Основной текст Знак1"/>
    <w:basedOn w:val="a0"/>
    <w:link w:val="af9"/>
    <w:uiPriority w:val="99"/>
    <w:semiHidden/>
    <w:rsid w:val="00C85DF9"/>
  </w:style>
  <w:style w:type="character" w:customStyle="1" w:styleId="100">
    <w:name w:val="Основной шрифт абзаца10"/>
    <w:rsid w:val="00557742"/>
  </w:style>
  <w:style w:type="table" w:customStyle="1" w:styleId="13">
    <w:name w:val="Сетка таблицы1"/>
    <w:basedOn w:val="a1"/>
    <w:next w:val="af7"/>
    <w:uiPriority w:val="59"/>
    <w:rsid w:val="00984719"/>
    <w:pPr>
      <w:widowControl/>
      <w:autoSpaceDN/>
      <w:textAlignment w:val="auto"/>
    </w:pPr>
    <w:rPr>
      <w:rFonts w:ascii="Times New Roman" w:eastAsiaTheme="minorHAnsi" w:hAnsi="Times New Roman" w:cs="Times New Roman"/>
      <w:kern w:val="2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5159-BE87-4A3F-8416-2B3381F3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Куцак Маргарита Николаевна</dc:creator>
  <cp:lastModifiedBy>Васильева Елена Николаевна</cp:lastModifiedBy>
  <cp:revision>3</cp:revision>
  <cp:lastPrinted>2023-08-22T05:42:00Z</cp:lastPrinted>
  <dcterms:created xsi:type="dcterms:W3CDTF">2023-09-27T06:38:00Z</dcterms:created>
  <dcterms:modified xsi:type="dcterms:W3CDTF">2023-09-27T06:41:00Z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