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B9" w:rsidRPr="00CE09B9" w:rsidRDefault="00CE09B9" w:rsidP="0002655E">
      <w:pPr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CE09B9">
        <w:rPr>
          <w:rFonts w:ascii="Times New Roman" w:eastAsia="Lucida Sans Unicode" w:hAnsi="Times New Roman"/>
          <w:b/>
          <w:kern w:val="1"/>
          <w:sz w:val="24"/>
          <w:szCs w:val="24"/>
        </w:rPr>
        <w:t>Описание объекта закупки</w:t>
      </w:r>
    </w:p>
    <w:p w:rsidR="001A215E" w:rsidRPr="001A215E" w:rsidRDefault="0002655E" w:rsidP="0002655E">
      <w:pPr>
        <w:jc w:val="center"/>
        <w:rPr>
          <w:lang w:eastAsia="ru-RU" w:bidi="ru-RU"/>
        </w:rPr>
      </w:pPr>
      <w:r w:rsidRPr="0002655E">
        <w:rPr>
          <w:rFonts w:ascii="Times New Roman" w:eastAsia="Lucida Sans Unicode" w:hAnsi="Times New Roman"/>
          <w:kern w:val="1"/>
          <w:sz w:val="24"/>
          <w:szCs w:val="24"/>
        </w:rPr>
        <w:t>на поставку кресел-колясок с ручным приводом с откидной спинкой комнатных и прогулочных (для инвалидов и детей-инвалидов) в 2022 году</w:t>
      </w:r>
    </w:p>
    <w:p w:rsidR="006223A2" w:rsidRDefault="006223A2" w:rsidP="006223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W w:w="1119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632"/>
        <w:gridCol w:w="1172"/>
        <w:gridCol w:w="1417"/>
        <w:gridCol w:w="1417"/>
      </w:tblGrid>
      <w:tr w:rsidR="00AD2229" w:rsidRPr="001A215E" w:rsidTr="001375BC">
        <w:tc>
          <w:tcPr>
            <w:tcW w:w="1560" w:type="dxa"/>
          </w:tcPr>
          <w:p w:rsidR="00AD2229" w:rsidRPr="001A215E" w:rsidRDefault="00AD2229" w:rsidP="00540F0A">
            <w:pPr>
              <w:widowControl w:val="0"/>
              <w:suppressAutoHyphens/>
              <w:autoSpaceDE w:val="0"/>
              <w:spacing w:after="0" w:line="240" w:lineRule="auto"/>
              <w:ind w:firstLine="185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215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Наименование Товара </w:t>
            </w:r>
          </w:p>
        </w:tc>
        <w:tc>
          <w:tcPr>
            <w:tcW w:w="5632" w:type="dxa"/>
          </w:tcPr>
          <w:p w:rsidR="00AD2229" w:rsidRPr="001A215E" w:rsidRDefault="00AD2229" w:rsidP="001A215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215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72" w:type="dxa"/>
            <w:vAlign w:val="center"/>
          </w:tcPr>
          <w:p w:rsidR="009A2684" w:rsidRPr="009A2684" w:rsidRDefault="009A2684" w:rsidP="009B69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</w:t>
            </w:r>
            <w:r w:rsidR="00AD2229"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-во</w:t>
            </w:r>
          </w:p>
        </w:tc>
        <w:tc>
          <w:tcPr>
            <w:tcW w:w="1417" w:type="dxa"/>
          </w:tcPr>
          <w:p w:rsidR="009B69A1" w:rsidRDefault="009B69A1" w:rsidP="009B69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AD2229" w:rsidRPr="001A215E" w:rsidRDefault="00AD2229" w:rsidP="009B69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AD2229" w:rsidRPr="001A215E" w:rsidRDefault="00AD2229" w:rsidP="009B69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6150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Стоимость, руб.</w:t>
            </w:r>
          </w:p>
        </w:tc>
      </w:tr>
      <w:tr w:rsidR="007F3819" w:rsidRPr="001A215E" w:rsidTr="001375BC">
        <w:tc>
          <w:tcPr>
            <w:tcW w:w="1560" w:type="dxa"/>
          </w:tcPr>
          <w:p w:rsidR="0002655E" w:rsidRPr="0002655E" w:rsidRDefault="0002655E" w:rsidP="0002655E">
            <w:pPr>
              <w:pStyle w:val="Standard"/>
              <w:widowControl w:val="0"/>
              <w:rPr>
                <w:color w:val="000000"/>
              </w:rPr>
            </w:pPr>
            <w:r w:rsidRPr="0002655E">
              <w:rPr>
                <w:color w:val="000000"/>
              </w:rPr>
              <w:t>7-02-06</w:t>
            </w:r>
          </w:p>
          <w:p w:rsidR="007F3819" w:rsidRPr="001A215E" w:rsidRDefault="0002655E" w:rsidP="0002655E">
            <w:pPr>
              <w:pStyle w:val="Standard"/>
              <w:widowControl w:val="0"/>
            </w:pPr>
            <w:r w:rsidRPr="0002655E">
              <w:rPr>
                <w:color w:val="000000"/>
              </w:rP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5632" w:type="dxa"/>
            <w:vAlign w:val="center"/>
          </w:tcPr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F34703">
              <w:rPr>
                <w:sz w:val="24"/>
                <w:szCs w:val="24"/>
              </w:rPr>
              <w:t>антиопрокидывающим</w:t>
            </w:r>
            <w:proofErr w:type="spellEnd"/>
            <w:r w:rsidRPr="00F34703">
              <w:rPr>
                <w:sz w:val="24"/>
                <w:szCs w:val="24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Кресло-коляска должна быть с приводом от обода колеса.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Диаметр приводных колес должен составлять не менее 57 см и не более 62 см.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</w:t>
            </w:r>
            <w:r w:rsidRPr="00F34703">
              <w:rPr>
                <w:sz w:val="24"/>
                <w:szCs w:val="24"/>
              </w:rPr>
              <w:lastRenderedPageBreak/>
              <w:t xml:space="preserve">пружинно-шариковыми фиксаторами, должны быть снабжены алюминиевыми </w:t>
            </w:r>
            <w:proofErr w:type="spellStart"/>
            <w:r w:rsidRPr="00F34703">
              <w:rPr>
                <w:sz w:val="24"/>
                <w:szCs w:val="24"/>
              </w:rPr>
              <w:t>ободами</w:t>
            </w:r>
            <w:proofErr w:type="spellEnd"/>
            <w:r w:rsidRPr="00F34703">
              <w:rPr>
                <w:sz w:val="24"/>
                <w:szCs w:val="24"/>
              </w:rPr>
              <w:t xml:space="preserve"> и обручами.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Высота спинки должна быть не менее 47,5 см.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Кресло-коляска должна иметь возможность </w:t>
            </w:r>
            <w:proofErr w:type="spellStart"/>
            <w:r w:rsidRPr="00F34703">
              <w:rPr>
                <w:sz w:val="24"/>
                <w:szCs w:val="24"/>
              </w:rPr>
              <w:t>поступенчатой</w:t>
            </w:r>
            <w:proofErr w:type="spellEnd"/>
            <w:r w:rsidRPr="00F34703">
              <w:rPr>
                <w:sz w:val="24"/>
                <w:szCs w:val="24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-  изменение угла наклона сиденья от минус 5 º до 15 º;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Кресло-коляска должна быть укомплектована подушкой на сиденье толщиной не менее 5 см.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>Кресло-коляска должна быть укомплектована страховочным устройством от опрокидывания.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Максимальный вес пользователя: не менее 125 кг включительно. </w:t>
            </w:r>
          </w:p>
          <w:p w:rsidR="00F34703" w:rsidRPr="00F34703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Вес кресла-коляски без дополнительного оснащения и без подушки не более </w:t>
            </w:r>
            <w:proofErr w:type="gramStart"/>
            <w:r w:rsidRPr="00F34703">
              <w:rPr>
                <w:sz w:val="24"/>
                <w:szCs w:val="24"/>
              </w:rPr>
              <w:t>19  кг</w:t>
            </w:r>
            <w:proofErr w:type="gramEnd"/>
            <w:r w:rsidRPr="00F34703">
              <w:rPr>
                <w:sz w:val="24"/>
                <w:szCs w:val="24"/>
              </w:rPr>
              <w:t xml:space="preserve">. </w:t>
            </w:r>
          </w:p>
          <w:p w:rsidR="007F3819" w:rsidRPr="00356E7E" w:rsidRDefault="00F34703" w:rsidP="00F34703">
            <w:pPr>
              <w:pStyle w:val="TableParagraph"/>
              <w:spacing w:line="232" w:lineRule="auto"/>
              <w:ind w:left="106" w:right="87" w:firstLine="435"/>
              <w:jc w:val="both"/>
              <w:rPr>
                <w:sz w:val="24"/>
                <w:szCs w:val="24"/>
              </w:rPr>
            </w:pPr>
            <w:r w:rsidRPr="00F34703">
              <w:rPr>
                <w:sz w:val="24"/>
                <w:szCs w:val="24"/>
              </w:rPr>
              <w:t xml:space="preserve">Кресла-коляски должны иметь ширины сиденья: 38 </w:t>
            </w:r>
            <w:proofErr w:type="gramStart"/>
            <w:r w:rsidRPr="00F34703">
              <w:rPr>
                <w:sz w:val="24"/>
                <w:szCs w:val="24"/>
              </w:rPr>
              <w:t>см  +</w:t>
            </w:r>
            <w:proofErr w:type="gramEnd"/>
            <w:r w:rsidRPr="00F34703">
              <w:rPr>
                <w:sz w:val="24"/>
                <w:szCs w:val="24"/>
              </w:rPr>
              <w:t xml:space="preserve">/- 1 см, 40 см +/- 1 см, 43 см +/- 1 см, 45 см +/- 1 см, 48 см +/- 1 см, 50 см +/- 1 см и </w:t>
            </w:r>
            <w:r w:rsidRPr="00F34703">
              <w:rPr>
                <w:sz w:val="24"/>
                <w:szCs w:val="24"/>
              </w:rPr>
              <w:lastRenderedPageBreak/>
              <w:t>поставляться в 6 типоразмерах.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F3819" w:rsidRPr="001A215E" w:rsidRDefault="001375BC" w:rsidP="009A268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417" w:type="dxa"/>
          </w:tcPr>
          <w:p w:rsidR="009A2684" w:rsidRPr="00620C74" w:rsidRDefault="00F34703" w:rsidP="007F3819">
            <w:pPr>
              <w:rPr>
                <w:rFonts w:ascii="Times New Roman" w:hAnsi="Times New Roman"/>
              </w:rPr>
            </w:pPr>
            <w:r w:rsidRPr="00620C74">
              <w:rPr>
                <w:rFonts w:ascii="Times New Roman" w:hAnsi="Times New Roman"/>
              </w:rPr>
              <w:t>32 482,77</w:t>
            </w: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  <w:p w:rsidR="009A2684" w:rsidRPr="00620C74" w:rsidRDefault="009A2684" w:rsidP="007F381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F3819" w:rsidRPr="00620C74" w:rsidRDefault="00620C74" w:rsidP="007F3819">
            <w:pPr>
              <w:rPr>
                <w:rFonts w:ascii="Times New Roman" w:hAnsi="Times New Roman"/>
              </w:rPr>
            </w:pPr>
            <w:r w:rsidRPr="00620C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620C74">
              <w:rPr>
                <w:rFonts w:ascii="Times New Roman" w:hAnsi="Times New Roman"/>
              </w:rPr>
              <w:t>948</w:t>
            </w:r>
            <w:r>
              <w:rPr>
                <w:rFonts w:ascii="Times New Roman" w:hAnsi="Times New Roman"/>
              </w:rPr>
              <w:t xml:space="preserve"> </w:t>
            </w:r>
            <w:r w:rsidRPr="00620C74">
              <w:rPr>
                <w:rFonts w:ascii="Times New Roman" w:hAnsi="Times New Roman"/>
              </w:rPr>
              <w:t>966,20</w:t>
            </w:r>
          </w:p>
        </w:tc>
      </w:tr>
      <w:tr w:rsidR="00620C74" w:rsidRPr="001A215E" w:rsidTr="001375BC">
        <w:trPr>
          <w:trHeight w:val="313"/>
        </w:trPr>
        <w:tc>
          <w:tcPr>
            <w:tcW w:w="9781" w:type="dxa"/>
            <w:gridSpan w:val="4"/>
          </w:tcPr>
          <w:p w:rsidR="00620C74" w:rsidRPr="00620C74" w:rsidRDefault="00620C74" w:rsidP="007F381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1417" w:type="dxa"/>
            <w:shd w:val="clear" w:color="auto" w:fill="auto"/>
          </w:tcPr>
          <w:p w:rsidR="00620C74" w:rsidRPr="00620C74" w:rsidRDefault="00620C74" w:rsidP="007F38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1 948 966,20</w:t>
            </w:r>
          </w:p>
        </w:tc>
      </w:tr>
    </w:tbl>
    <w:p w:rsidR="00540F0A" w:rsidRDefault="00540F0A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6223A2" w:rsidRPr="007E5623" w:rsidRDefault="006223A2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02655E" w:rsidRPr="0002655E" w:rsidRDefault="0002655E" w:rsidP="0002655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2655E">
        <w:rPr>
          <w:rFonts w:ascii="Times New Roman" w:hAnsi="Times New Roman"/>
          <w:sz w:val="24"/>
          <w:szCs w:val="24"/>
        </w:rPr>
        <w:t>Кресло-коляска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2655E" w:rsidRPr="0002655E" w:rsidRDefault="0002655E" w:rsidP="0002655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2655E">
        <w:rPr>
          <w:rFonts w:ascii="Times New Roman" w:hAnsi="Times New Roman"/>
          <w:sz w:val="24"/>
          <w:szCs w:val="24"/>
        </w:rPr>
        <w:t>Кресло-коляска соответствует требованиям государственных стандартов ГОСТ Р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Р ИСО 7176-8-2015 «Кресла-коляски. Часть 8. Требования и методы испытаний на статическую, ударную и усталостную прочность", ГОСТ Р 51083-20</w:t>
      </w:r>
      <w:r w:rsidR="003D14B3">
        <w:rPr>
          <w:rFonts w:ascii="Times New Roman" w:hAnsi="Times New Roman"/>
          <w:sz w:val="24"/>
          <w:szCs w:val="24"/>
        </w:rPr>
        <w:t>21</w:t>
      </w:r>
      <w:r w:rsidRPr="0002655E">
        <w:rPr>
          <w:rFonts w:ascii="Times New Roman" w:hAnsi="Times New Roman"/>
          <w:sz w:val="24"/>
          <w:szCs w:val="24"/>
        </w:rPr>
        <w:t xml:space="preserve"> «Кресла-коляски. Общие технические условия", ГОСТ Р ИСО 7176-16-2015 «Кресла-коляски. Часть 16. Стойкость к возгоранию устройств поддержания положения тела". </w:t>
      </w:r>
    </w:p>
    <w:p w:rsidR="0002655E" w:rsidRPr="007875DA" w:rsidRDefault="007875DA" w:rsidP="007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875DA">
        <w:rPr>
          <w:rFonts w:ascii="Times New Roman" w:hAnsi="Times New Roman"/>
          <w:sz w:val="24"/>
          <w:szCs w:val="24"/>
        </w:rPr>
        <w:t>Кресло-коляски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 (при наличии),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6223A2" w:rsidRPr="007E5623" w:rsidRDefault="006223A2" w:rsidP="006223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02655E" w:rsidRPr="0002655E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02655E" w:rsidRPr="0002655E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Материалы, применяемые для изготовления кресел-колясок, не содержат токсичных компонентов. Обтяжка не пропускает мочу, сохраняет устойчивость к ее воздействию и поддается санитарной обработке. В отношении пожарной безопасности она обладает свойством самогашения. Применяемые для изготовления колясок материалы не воздействуют на цвет поверхности пола, одежды, кожи пользователя, с которыми контактируют детали платформы при ее нормальной эксплуатации.</w:t>
      </w:r>
    </w:p>
    <w:p w:rsidR="0002655E" w:rsidRPr="0002655E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Наружные поверхности кресла-коляски устойчивы к воздействию 1%-</w:t>
      </w:r>
      <w:proofErr w:type="spellStart"/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го</w:t>
      </w:r>
      <w:proofErr w:type="spellEnd"/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 xml:space="preserve"> раствора монохлорамина ХБ и растворов моющих средств, применяемых при дезинфекции.</w:t>
      </w:r>
    </w:p>
    <w:p w:rsidR="0002655E" w:rsidRPr="0002655E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Система торможения кресло-коляски обеспечивает удержание кресла-коляски с пользователем в неподвижном состоянии и снижение скорости движения, а также полную остановку кресла-коляски.</w:t>
      </w:r>
    </w:p>
    <w:p w:rsidR="0002655E" w:rsidRPr="0002655E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Кресла-коляски в соответствии ГОСТами и схемой сертификации подвергаются испытаниям следующих категорий: квалификационным, приемо-сдаточным, периодическим, сертификационным, типовым.</w:t>
      </w:r>
    </w:p>
    <w:p w:rsidR="00EB46EF" w:rsidRPr="0024749F" w:rsidRDefault="0002655E" w:rsidP="0002655E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02655E">
        <w:rPr>
          <w:rFonts w:ascii="Times New Roman" w:eastAsia="Lucida Sans Unicode" w:hAnsi="Times New Roman"/>
          <w:sz w:val="24"/>
          <w:szCs w:val="24"/>
          <w:lang w:eastAsia="ar-SA"/>
        </w:rPr>
        <w:t>При поставке товара будет в наличии копия регистрационного удостоверения, свидетельствующая о качестве и безопасности товара.</w:t>
      </w:r>
    </w:p>
    <w:p w:rsidR="006223A2" w:rsidRPr="007E5623" w:rsidRDefault="006223A2" w:rsidP="006223A2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6223A2" w:rsidRPr="007E5623" w:rsidRDefault="006223A2" w:rsidP="006223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6223A2" w:rsidRPr="007E5623" w:rsidRDefault="006223A2" w:rsidP="00540F0A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На кажд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>ый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 xml:space="preserve">товар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>е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Маркировка упаковки Товара должна включать: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страну-изготовителя;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отличительные характеристики Товара в соответствии с их техническим исполнением (при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>наличии);</w:t>
      </w:r>
    </w:p>
    <w:p w:rsidR="006223A2" w:rsidRPr="007E5623" w:rsidRDefault="006223A2" w:rsidP="00540F0A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номер артикула (при наличии).</w:t>
      </w:r>
    </w:p>
    <w:p w:rsidR="006223A2" w:rsidRPr="007E5623" w:rsidRDefault="006223A2" w:rsidP="00540F0A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</w:t>
      </w:r>
      <w:r w:rsidR="00B96C72"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кресло-коляски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223A2" w:rsidRPr="007E5623" w:rsidRDefault="006223A2" w:rsidP="00540F0A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Маркировка кресла-коляски должна содержать: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наименование производителя (товарный знак предприятия-производителя);</w:t>
      </w:r>
    </w:p>
    <w:p w:rsidR="009B1F66" w:rsidRPr="00A95418" w:rsidRDefault="009B1F66" w:rsidP="009B1F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адрес производителя;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обозначение типа (модели) кресла-коляски (в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зависимости от модификации);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дату выпуска (месяц, год);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артикул модификации кресла-коляски;</w:t>
      </w:r>
    </w:p>
    <w:p w:rsidR="009B1F66" w:rsidRPr="00A95418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серийный номер данного кресла-коляски;</w:t>
      </w:r>
    </w:p>
    <w:p w:rsidR="009B1F66" w:rsidRPr="007E5623" w:rsidRDefault="009B1F66" w:rsidP="00540F0A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рекомендуемую максимальную массу пользователя.</w:t>
      </w:r>
    </w:p>
    <w:p w:rsidR="006223A2" w:rsidRPr="007E5623" w:rsidRDefault="006223A2" w:rsidP="006223A2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6223A2" w:rsidRPr="007E5623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6223A2" w:rsidRPr="007E5623" w:rsidRDefault="006223A2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05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.0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3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.20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21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N </w:t>
      </w:r>
      <w:r w:rsidR="00834DF9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107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B1F66" w:rsidRDefault="002E3E3D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Гарантийный срок эксплуатации составляет </w:t>
      </w:r>
      <w:r w:rsidR="00411BB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12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месяца</w:t>
      </w:r>
      <w:r w:rsidR="00F41E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,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F41E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</w:t>
      </w:r>
      <w:r w:rsidR="00F41E5C" w:rsidRPr="0024749F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арантийный срок эксплуатации покрышек передних и задних колес </w:t>
      </w:r>
      <w:r w:rsidR="00F41E5C"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должен быть</w:t>
      </w:r>
      <w:r w:rsidR="00F41E5C" w:rsidRPr="0024749F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 не менее 12 </w:t>
      </w:r>
      <w:r w:rsidR="00F41E5C" w:rsidRPr="00A95418">
        <w:rPr>
          <w:rFonts w:ascii="Times New Roman" w:eastAsia="Lucida Sans Unicode" w:hAnsi="Times New Roman"/>
          <w:iCs/>
          <w:kern w:val="2"/>
          <w:sz w:val="24"/>
          <w:szCs w:val="24"/>
        </w:rPr>
        <w:t xml:space="preserve">месяцев </w:t>
      </w:r>
      <w:r w:rsidR="009B1F66"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со дня ввода в эксплуатацию (</w:t>
      </w:r>
      <w:r w:rsidR="009B1F66"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со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дня подписания по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лучател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ем 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(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редставител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ем п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олучателя)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9B1F66"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Акта приема-передачи Товара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)</w:t>
      </w:r>
      <w:r w:rsidR="009B1F66"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. </w:t>
      </w:r>
      <w:r w:rsidR="009B1F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           </w:t>
      </w:r>
    </w:p>
    <w:p w:rsidR="0021096B" w:rsidRDefault="0021096B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6223A2" w:rsidRPr="007E5623" w:rsidRDefault="006223A2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E23995" w:rsidRPr="002E3E3D" w:rsidRDefault="002E3E3D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</w:t>
      </w:r>
      <w:r w:rsidR="00360666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2E3E3D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должен располагать сервисной службой</w:t>
      </w:r>
      <w:r w:rsidR="00E2399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r w:rsidR="00B43607" w:rsidRPr="00206568">
        <w:rPr>
          <w:rFonts w:ascii="Times New Roman" w:hAnsi="Times New Roman"/>
          <w:sz w:val="24"/>
          <w:szCs w:val="24"/>
        </w:rPr>
        <w:t>расположенн</w:t>
      </w:r>
      <w:r w:rsidR="00087700">
        <w:rPr>
          <w:rFonts w:ascii="Times New Roman" w:hAnsi="Times New Roman"/>
          <w:sz w:val="24"/>
          <w:szCs w:val="24"/>
        </w:rPr>
        <w:t>ой</w:t>
      </w:r>
      <w:r w:rsidR="00B43607" w:rsidRPr="00206568">
        <w:rPr>
          <w:rFonts w:ascii="Times New Roman" w:hAnsi="Times New Roman"/>
          <w:sz w:val="24"/>
          <w:szCs w:val="24"/>
        </w:rPr>
        <w:t xml:space="preserve"> в субъекте Российской Федерации</w:t>
      </w:r>
      <w:r w:rsidR="00B4360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r w:rsidR="00E23995" w:rsidRPr="00A95418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для обеспечения гарантийного ремонта поставляемых кресел-колясок.</w:t>
      </w:r>
    </w:p>
    <w:p w:rsidR="006223A2" w:rsidRPr="007E5623" w:rsidRDefault="006223A2" w:rsidP="00540F0A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F666EC" w:rsidRDefault="00F666EC" w:rsidP="00F666EC">
      <w:pPr>
        <w:autoSpaceDE w:val="0"/>
        <w:ind w:firstLine="709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</w:t>
      </w:r>
    </w:p>
    <w:p w:rsidR="00F666EC" w:rsidRPr="00F666EC" w:rsidRDefault="00F666EC" w:rsidP="00F666EC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 оплаты по Контракту</w:t>
      </w:r>
    </w:p>
    <w:p w:rsidR="002A6280" w:rsidRPr="00E8020C" w:rsidRDefault="00F666EC" w:rsidP="002A6280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F666E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="002A6280" w:rsidRPr="00E8020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 цену Контракта включаются все расходы </w:t>
      </w:r>
      <w:r w:rsidR="002A628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Поставщика</w:t>
      </w:r>
      <w:r w:rsidR="002A6280" w:rsidRPr="00E8020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по исполнению Контракта, в том числе расходы на перевозку, страхование, уплату налогов и других обязательных платежей.</w:t>
      </w:r>
    </w:p>
    <w:p w:rsidR="002A6280" w:rsidRPr="00E8020C" w:rsidRDefault="002A6280" w:rsidP="002A6280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8020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 на основании счета, представленного Поставщиком. </w:t>
      </w:r>
    </w:p>
    <w:p w:rsidR="006223A2" w:rsidRPr="00E81915" w:rsidRDefault="006223A2" w:rsidP="002A628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bookmarkStart w:id="0" w:name="_GoBack"/>
      <w:bookmarkEnd w:id="0"/>
    </w:p>
    <w:p w:rsidR="006223A2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201FF4" w:rsidRPr="00E25920" w:rsidRDefault="00567092" w:rsidP="00201FF4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Поставщик</w:t>
      </w:r>
      <w:r w:rsidR="00201FF4" w:rsidRPr="00E2592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 заключении Контракта должен представить Заказчику обеспечение исполнения Конт</w:t>
      </w:r>
      <w:r w:rsidR="003509D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ракта в размере 30 % от</w:t>
      </w:r>
      <w:r w:rsidR="00201FF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цены Контракта.</w:t>
      </w:r>
    </w:p>
    <w:p w:rsidR="00201FF4" w:rsidRPr="007E5623" w:rsidRDefault="00201FF4" w:rsidP="00201FF4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 подписания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DA4562" w:rsidRPr="00201FF4" w:rsidRDefault="00DA4562" w:rsidP="00201FF4">
      <w:pPr>
        <w:suppressAutoHyphens/>
        <w:spacing w:after="0" w:line="100" w:lineRule="atLeast"/>
        <w:ind w:left="-567" w:right="-2" w:firstLine="1276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6223A2" w:rsidRPr="007E5623" w:rsidRDefault="006223A2" w:rsidP="006223A2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6223A2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B85391" w:rsidRPr="007E5623" w:rsidRDefault="00B85391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-фото/видео фиксация;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223A2" w:rsidRPr="007E5623" w:rsidRDefault="006223A2" w:rsidP="00540F0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6223A2" w:rsidRPr="007E5623" w:rsidRDefault="006223A2" w:rsidP="007875DA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gram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в</w:t>
      </w:r>
      <w:proofErr w:type="gram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BF4109" w:rsidRPr="00BD28C1" w:rsidRDefault="00BF4109" w:rsidP="003D14B3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округ.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 xml:space="preserve">Черниговский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BF4109" w:rsidRPr="00BD28C1" w:rsidRDefault="00BF4109" w:rsidP="00BF4109">
      <w:pPr>
        <w:suppressAutoHyphens/>
        <w:spacing w:after="0" w:line="240" w:lineRule="auto"/>
        <w:ind w:right="424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BF4109" w:rsidRPr="000D2C1D" w:rsidRDefault="00BF4109" w:rsidP="00BF4109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с даты получения от Заказчика реестра получателей Товара до </w:t>
      </w:r>
      <w:r w:rsidR="001D328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15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0D2C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декабря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202</w:t>
      </w:r>
      <w:r w:rsidR="007F3819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года – 100%</w:t>
      </w:r>
    </w:p>
    <w:p w:rsidR="003D4A4B" w:rsidRPr="00BF4109" w:rsidRDefault="003D4A4B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082C49" w:rsidRDefault="00082C49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02C73" w:rsidRDefault="00A02C73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15087" w:rsidRDefault="00315087" w:rsidP="002A4389">
      <w:pPr>
        <w:ind w:left="-567" w:firstLine="567"/>
        <w:jc w:val="both"/>
      </w:pPr>
    </w:p>
    <w:sectPr w:rsidR="003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5A01"/>
    <w:multiLevelType w:val="hybridMultilevel"/>
    <w:tmpl w:val="600C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73FE"/>
    <w:multiLevelType w:val="hybridMultilevel"/>
    <w:tmpl w:val="6F64BB68"/>
    <w:lvl w:ilvl="0" w:tplc="33943748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A9CF2A8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2" w:tplc="A532EB04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3" w:tplc="B4D00B34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4" w:tplc="221A8996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5" w:tplc="A2F86D24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  <w:lvl w:ilvl="6" w:tplc="6E8EC6DA">
      <w:numFmt w:val="bullet"/>
      <w:lvlText w:val="•"/>
      <w:lvlJc w:val="left"/>
      <w:pPr>
        <w:ind w:left="4970" w:hanging="183"/>
      </w:pPr>
      <w:rPr>
        <w:rFonts w:hint="default"/>
        <w:lang w:val="ru-RU" w:eastAsia="en-US" w:bidi="ar-SA"/>
      </w:rPr>
    </w:lvl>
    <w:lvl w:ilvl="7" w:tplc="54025F9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8" w:tplc="40C2D736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</w:abstractNum>
  <w:abstractNum w:abstractNumId="2">
    <w:nsid w:val="6AE2274B"/>
    <w:multiLevelType w:val="hybridMultilevel"/>
    <w:tmpl w:val="5C3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211DF"/>
    <w:multiLevelType w:val="hybridMultilevel"/>
    <w:tmpl w:val="75DABFD8"/>
    <w:lvl w:ilvl="0" w:tplc="70C48D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1B82722">
      <w:numFmt w:val="bullet"/>
      <w:lvlText w:val="•"/>
      <w:lvlJc w:val="left"/>
      <w:pPr>
        <w:ind w:left="930" w:hanging="164"/>
      </w:pPr>
      <w:rPr>
        <w:rFonts w:hint="default"/>
        <w:lang w:val="ru-RU" w:eastAsia="en-US" w:bidi="ar-SA"/>
      </w:rPr>
    </w:lvl>
    <w:lvl w:ilvl="2" w:tplc="D09EDFB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3" w:tplc="7F2082FE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4" w:tplc="B66AAC92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5" w:tplc="D63C4278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6" w:tplc="44D4CA94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7" w:tplc="367EF59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8" w:tplc="9648E5F0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</w:abstractNum>
  <w:abstractNum w:abstractNumId="4">
    <w:nsid w:val="7AE90C3E"/>
    <w:multiLevelType w:val="hybridMultilevel"/>
    <w:tmpl w:val="A900D84E"/>
    <w:lvl w:ilvl="0" w:tplc="E7A6841E">
      <w:numFmt w:val="bullet"/>
      <w:lvlText w:val="-"/>
      <w:lvlJc w:val="left"/>
      <w:pPr>
        <w:ind w:left="111" w:hanging="17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E3D604CE">
      <w:numFmt w:val="bullet"/>
      <w:lvlText w:val="•"/>
      <w:lvlJc w:val="left"/>
      <w:pPr>
        <w:ind w:left="930" w:hanging="179"/>
      </w:pPr>
      <w:rPr>
        <w:rFonts w:hint="default"/>
        <w:lang w:val="ru-RU" w:eastAsia="en-US" w:bidi="ar-SA"/>
      </w:rPr>
    </w:lvl>
    <w:lvl w:ilvl="2" w:tplc="A15A880E">
      <w:numFmt w:val="bullet"/>
      <w:lvlText w:val="•"/>
      <w:lvlJc w:val="left"/>
      <w:pPr>
        <w:ind w:left="1740" w:hanging="179"/>
      </w:pPr>
      <w:rPr>
        <w:rFonts w:hint="default"/>
        <w:lang w:val="ru-RU" w:eastAsia="en-US" w:bidi="ar-SA"/>
      </w:rPr>
    </w:lvl>
    <w:lvl w:ilvl="3" w:tplc="21FAEB9C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4" w:tplc="5FA6EAE8">
      <w:numFmt w:val="bullet"/>
      <w:lvlText w:val="•"/>
      <w:lvlJc w:val="left"/>
      <w:pPr>
        <w:ind w:left="3361" w:hanging="179"/>
      </w:pPr>
      <w:rPr>
        <w:rFonts w:hint="default"/>
        <w:lang w:val="ru-RU" w:eastAsia="en-US" w:bidi="ar-SA"/>
      </w:rPr>
    </w:lvl>
    <w:lvl w:ilvl="5" w:tplc="80104772">
      <w:numFmt w:val="bullet"/>
      <w:lvlText w:val="•"/>
      <w:lvlJc w:val="left"/>
      <w:pPr>
        <w:ind w:left="4171" w:hanging="179"/>
      </w:pPr>
      <w:rPr>
        <w:rFonts w:hint="default"/>
        <w:lang w:val="ru-RU" w:eastAsia="en-US" w:bidi="ar-SA"/>
      </w:rPr>
    </w:lvl>
    <w:lvl w:ilvl="6" w:tplc="6B864CA8">
      <w:numFmt w:val="bullet"/>
      <w:lvlText w:val="•"/>
      <w:lvlJc w:val="left"/>
      <w:pPr>
        <w:ind w:left="4981" w:hanging="179"/>
      </w:pPr>
      <w:rPr>
        <w:rFonts w:hint="default"/>
        <w:lang w:val="ru-RU" w:eastAsia="en-US" w:bidi="ar-SA"/>
      </w:rPr>
    </w:lvl>
    <w:lvl w:ilvl="7" w:tplc="440AB41E">
      <w:numFmt w:val="bullet"/>
      <w:lvlText w:val="•"/>
      <w:lvlJc w:val="left"/>
      <w:pPr>
        <w:ind w:left="5792" w:hanging="179"/>
      </w:pPr>
      <w:rPr>
        <w:rFonts w:hint="default"/>
        <w:lang w:val="ru-RU" w:eastAsia="en-US" w:bidi="ar-SA"/>
      </w:rPr>
    </w:lvl>
    <w:lvl w:ilvl="8" w:tplc="68760330">
      <w:numFmt w:val="bullet"/>
      <w:lvlText w:val="•"/>
      <w:lvlJc w:val="left"/>
      <w:pPr>
        <w:ind w:left="6602" w:hanging="1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23E57"/>
    <w:rsid w:val="0002655E"/>
    <w:rsid w:val="00034664"/>
    <w:rsid w:val="000634E5"/>
    <w:rsid w:val="00082C49"/>
    <w:rsid w:val="0008347F"/>
    <w:rsid w:val="00087700"/>
    <w:rsid w:val="000915BC"/>
    <w:rsid w:val="000B5857"/>
    <w:rsid w:val="000D2C1D"/>
    <w:rsid w:val="000E330C"/>
    <w:rsid w:val="001264F0"/>
    <w:rsid w:val="001301D9"/>
    <w:rsid w:val="001375BC"/>
    <w:rsid w:val="001639D4"/>
    <w:rsid w:val="001709F8"/>
    <w:rsid w:val="00196854"/>
    <w:rsid w:val="001A215E"/>
    <w:rsid w:val="001C059B"/>
    <w:rsid w:val="001C4308"/>
    <w:rsid w:val="001D3286"/>
    <w:rsid w:val="001E000F"/>
    <w:rsid w:val="001F6752"/>
    <w:rsid w:val="00201FF4"/>
    <w:rsid w:val="0021096B"/>
    <w:rsid w:val="0021274D"/>
    <w:rsid w:val="002655B6"/>
    <w:rsid w:val="002953E4"/>
    <w:rsid w:val="002A4138"/>
    <w:rsid w:val="002A4389"/>
    <w:rsid w:val="002A6280"/>
    <w:rsid w:val="002B3A0A"/>
    <w:rsid w:val="002E3E3D"/>
    <w:rsid w:val="00315087"/>
    <w:rsid w:val="00320A03"/>
    <w:rsid w:val="003509DB"/>
    <w:rsid w:val="00356E7E"/>
    <w:rsid w:val="00360666"/>
    <w:rsid w:val="003741D4"/>
    <w:rsid w:val="003963DB"/>
    <w:rsid w:val="003A7E23"/>
    <w:rsid w:val="003D14B3"/>
    <w:rsid w:val="003D4A4B"/>
    <w:rsid w:val="003E2A88"/>
    <w:rsid w:val="003F217C"/>
    <w:rsid w:val="00411BB4"/>
    <w:rsid w:val="004206B4"/>
    <w:rsid w:val="00445D36"/>
    <w:rsid w:val="0046675A"/>
    <w:rsid w:val="00494566"/>
    <w:rsid w:val="005319C5"/>
    <w:rsid w:val="00540F0A"/>
    <w:rsid w:val="00556F58"/>
    <w:rsid w:val="00567092"/>
    <w:rsid w:val="00570422"/>
    <w:rsid w:val="00587BDC"/>
    <w:rsid w:val="00590528"/>
    <w:rsid w:val="005D0578"/>
    <w:rsid w:val="00620C74"/>
    <w:rsid w:val="006223A2"/>
    <w:rsid w:val="0064607F"/>
    <w:rsid w:val="00647402"/>
    <w:rsid w:val="00673902"/>
    <w:rsid w:val="00693F11"/>
    <w:rsid w:val="006B5EC9"/>
    <w:rsid w:val="006C1369"/>
    <w:rsid w:val="006D1FBC"/>
    <w:rsid w:val="006D6338"/>
    <w:rsid w:val="00714339"/>
    <w:rsid w:val="00717A21"/>
    <w:rsid w:val="00731AFE"/>
    <w:rsid w:val="00757364"/>
    <w:rsid w:val="00770229"/>
    <w:rsid w:val="00773D87"/>
    <w:rsid w:val="007875DA"/>
    <w:rsid w:val="007907C5"/>
    <w:rsid w:val="007B119F"/>
    <w:rsid w:val="007B4266"/>
    <w:rsid w:val="007C5065"/>
    <w:rsid w:val="007D08D2"/>
    <w:rsid w:val="007D587D"/>
    <w:rsid w:val="007E298D"/>
    <w:rsid w:val="007F3819"/>
    <w:rsid w:val="0081088F"/>
    <w:rsid w:val="008150DE"/>
    <w:rsid w:val="00834DF9"/>
    <w:rsid w:val="0083588B"/>
    <w:rsid w:val="00853047"/>
    <w:rsid w:val="00853F8E"/>
    <w:rsid w:val="0085737E"/>
    <w:rsid w:val="008704F8"/>
    <w:rsid w:val="00873752"/>
    <w:rsid w:val="00873ECE"/>
    <w:rsid w:val="00891A87"/>
    <w:rsid w:val="008B729E"/>
    <w:rsid w:val="008C1CC9"/>
    <w:rsid w:val="008C395E"/>
    <w:rsid w:val="008C4E7A"/>
    <w:rsid w:val="009042AB"/>
    <w:rsid w:val="0091718D"/>
    <w:rsid w:val="00922869"/>
    <w:rsid w:val="00952B99"/>
    <w:rsid w:val="00953A16"/>
    <w:rsid w:val="00962219"/>
    <w:rsid w:val="009665F8"/>
    <w:rsid w:val="00975441"/>
    <w:rsid w:val="009A2684"/>
    <w:rsid w:val="009A50D0"/>
    <w:rsid w:val="009B1F66"/>
    <w:rsid w:val="009B69A1"/>
    <w:rsid w:val="009C0155"/>
    <w:rsid w:val="009D1A4E"/>
    <w:rsid w:val="009E45F1"/>
    <w:rsid w:val="00A02C73"/>
    <w:rsid w:val="00A034E6"/>
    <w:rsid w:val="00A073D8"/>
    <w:rsid w:val="00A14B37"/>
    <w:rsid w:val="00A20E19"/>
    <w:rsid w:val="00A43757"/>
    <w:rsid w:val="00A5181E"/>
    <w:rsid w:val="00A67CF4"/>
    <w:rsid w:val="00A8304E"/>
    <w:rsid w:val="00A95418"/>
    <w:rsid w:val="00A956D2"/>
    <w:rsid w:val="00AA73BC"/>
    <w:rsid w:val="00AC178D"/>
    <w:rsid w:val="00AD1123"/>
    <w:rsid w:val="00AD16F7"/>
    <w:rsid w:val="00AD20BA"/>
    <w:rsid w:val="00AD2229"/>
    <w:rsid w:val="00AF08AB"/>
    <w:rsid w:val="00AF0EC5"/>
    <w:rsid w:val="00AF5E70"/>
    <w:rsid w:val="00B03393"/>
    <w:rsid w:val="00B21597"/>
    <w:rsid w:val="00B254AE"/>
    <w:rsid w:val="00B27A23"/>
    <w:rsid w:val="00B43607"/>
    <w:rsid w:val="00B64A66"/>
    <w:rsid w:val="00B85391"/>
    <w:rsid w:val="00B95E85"/>
    <w:rsid w:val="00B96C72"/>
    <w:rsid w:val="00BA3583"/>
    <w:rsid w:val="00BB1E78"/>
    <w:rsid w:val="00BF4109"/>
    <w:rsid w:val="00C16D2D"/>
    <w:rsid w:val="00C35A41"/>
    <w:rsid w:val="00C51DD4"/>
    <w:rsid w:val="00CE09B9"/>
    <w:rsid w:val="00CE14EA"/>
    <w:rsid w:val="00D11C1D"/>
    <w:rsid w:val="00D14EFF"/>
    <w:rsid w:val="00D21B56"/>
    <w:rsid w:val="00D22023"/>
    <w:rsid w:val="00D86B69"/>
    <w:rsid w:val="00D930DA"/>
    <w:rsid w:val="00DA4562"/>
    <w:rsid w:val="00DB0220"/>
    <w:rsid w:val="00DB1F9F"/>
    <w:rsid w:val="00DB4107"/>
    <w:rsid w:val="00DB7378"/>
    <w:rsid w:val="00DE25A7"/>
    <w:rsid w:val="00E142B3"/>
    <w:rsid w:val="00E23995"/>
    <w:rsid w:val="00E30B84"/>
    <w:rsid w:val="00E37F94"/>
    <w:rsid w:val="00E81915"/>
    <w:rsid w:val="00E862E4"/>
    <w:rsid w:val="00EB46EF"/>
    <w:rsid w:val="00ED138E"/>
    <w:rsid w:val="00F07453"/>
    <w:rsid w:val="00F10BAE"/>
    <w:rsid w:val="00F34703"/>
    <w:rsid w:val="00F348A6"/>
    <w:rsid w:val="00F41E5C"/>
    <w:rsid w:val="00F50CBF"/>
    <w:rsid w:val="00F562F7"/>
    <w:rsid w:val="00F666EC"/>
    <w:rsid w:val="00F76E9C"/>
    <w:rsid w:val="00F77610"/>
    <w:rsid w:val="00F82656"/>
    <w:rsid w:val="00F9042C"/>
    <w:rsid w:val="00FA6F78"/>
    <w:rsid w:val="00FC36DC"/>
    <w:rsid w:val="00FC53DD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No Spacing"/>
    <w:qFormat/>
    <w:rsid w:val="00731AF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aliases w:val="Обычный (Web)"/>
    <w:basedOn w:val="a"/>
    <w:rsid w:val="00731AFE"/>
    <w:pPr>
      <w:suppressAutoHyphens/>
      <w:spacing w:before="280" w:after="119" w:line="240" w:lineRule="auto"/>
      <w:ind w:left="-907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1AFE"/>
  </w:style>
  <w:style w:type="character" w:customStyle="1" w:styleId="s3">
    <w:name w:val="s3"/>
    <w:rsid w:val="00731AFE"/>
  </w:style>
  <w:style w:type="paragraph" w:customStyle="1" w:styleId="p12">
    <w:name w:val="p1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31AFE"/>
  </w:style>
  <w:style w:type="paragraph" w:customStyle="1" w:styleId="p4">
    <w:name w:val="p4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31AFE"/>
  </w:style>
  <w:style w:type="character" w:customStyle="1" w:styleId="s8">
    <w:name w:val="s8"/>
    <w:rsid w:val="00731AFE"/>
  </w:style>
  <w:style w:type="paragraph" w:customStyle="1" w:styleId="p19">
    <w:name w:val="p19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31AFE"/>
  </w:style>
  <w:style w:type="paragraph" w:customStyle="1" w:styleId="p22">
    <w:name w:val="p2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731AFE"/>
  </w:style>
  <w:style w:type="paragraph" w:styleId="2">
    <w:name w:val="Body Text 2"/>
    <w:basedOn w:val="a"/>
    <w:link w:val="20"/>
    <w:uiPriority w:val="99"/>
    <w:unhideWhenUsed/>
    <w:rsid w:val="00F7761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F7761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7761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F776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76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528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A2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AA7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Мельцова Алина Евгеньевна</cp:lastModifiedBy>
  <cp:revision>161</cp:revision>
  <cp:lastPrinted>2022-09-01T02:26:00Z</cp:lastPrinted>
  <dcterms:created xsi:type="dcterms:W3CDTF">2020-03-15T01:57:00Z</dcterms:created>
  <dcterms:modified xsi:type="dcterms:W3CDTF">2022-09-05T02:21:00Z</dcterms:modified>
</cp:coreProperties>
</file>