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C40" w:rsidRDefault="00964BAE" w:rsidP="00F2080E">
      <w:pPr>
        <w:spacing w:after="0" w:line="240" w:lineRule="auto"/>
        <w:jc w:val="center"/>
        <w:rPr>
          <w:rFonts w:ascii="Times New Roman" w:hAnsi="Times New Roman" w:cs="Times New Roman"/>
          <w:b/>
          <w:color w:val="000000"/>
        </w:rPr>
      </w:pPr>
      <w:r w:rsidRPr="00D75E8A">
        <w:rPr>
          <w:rFonts w:ascii="Times New Roman" w:hAnsi="Times New Roman" w:cs="Times New Roman"/>
          <w:b/>
          <w:color w:val="000000"/>
        </w:rPr>
        <w:t xml:space="preserve">Описание объекта закупки в соответствии со </w:t>
      </w:r>
      <w:hyperlink r:id="rId6" w:anchor="/document/70353464/entry/33" w:history="1">
        <w:r w:rsidRPr="00D75E8A">
          <w:rPr>
            <w:rFonts w:ascii="Times New Roman" w:hAnsi="Times New Roman" w:cs="Times New Roman"/>
            <w:b/>
            <w:color w:val="000000"/>
          </w:rPr>
          <w:t>статьей 33</w:t>
        </w:r>
      </w:hyperlink>
      <w:r w:rsidR="00D75E8A">
        <w:rPr>
          <w:rFonts w:ascii="Times New Roman" w:hAnsi="Times New Roman" w:cs="Times New Roman"/>
          <w:b/>
          <w:color w:val="000000"/>
        </w:rPr>
        <w:t xml:space="preserve"> </w:t>
      </w:r>
      <w:r w:rsidR="00D75E8A" w:rsidRPr="00D75E8A">
        <w:rPr>
          <w:rFonts w:ascii="Times New Roman" w:hAnsi="Times New Roman" w:cs="Times New Roman"/>
          <w:b/>
          <w:color w:val="000000"/>
        </w:rPr>
        <w:t xml:space="preserve">Федерального закона от 5 апреля 2013 г. </w:t>
      </w:r>
      <w:r w:rsidR="00D75E8A">
        <w:rPr>
          <w:rFonts w:ascii="Times New Roman" w:hAnsi="Times New Roman" w:cs="Times New Roman"/>
          <w:b/>
          <w:color w:val="000000"/>
        </w:rPr>
        <w:br/>
      </w:r>
      <w:r w:rsidR="00D75E8A" w:rsidRPr="00D75E8A">
        <w:rPr>
          <w:rFonts w:ascii="Times New Roman" w:hAnsi="Times New Roman" w:cs="Times New Roman"/>
          <w:b/>
          <w:color w:val="000000"/>
        </w:rPr>
        <w:t xml:space="preserve">№ 44-ФЗ «О контрактной системе в сфере закупок товаров, работ, услуг для обеспечения государственных и муниципальных нужд» </w:t>
      </w:r>
      <w:r w:rsidR="00355FD5">
        <w:rPr>
          <w:rFonts w:ascii="Times New Roman" w:hAnsi="Times New Roman" w:cs="Times New Roman"/>
          <w:b/>
          <w:color w:val="000000"/>
        </w:rPr>
        <w:t xml:space="preserve">ЭА. </w:t>
      </w:r>
      <w:r w:rsidR="00AB203F">
        <w:rPr>
          <w:rFonts w:ascii="Times New Roman" w:hAnsi="Times New Roman" w:cs="Times New Roman"/>
          <w:b/>
          <w:color w:val="000000"/>
        </w:rPr>
        <w:t>207</w:t>
      </w:r>
      <w:r w:rsidR="00F86F66" w:rsidRPr="00F86F66">
        <w:rPr>
          <w:rFonts w:ascii="Times New Roman" w:hAnsi="Times New Roman" w:cs="Times New Roman"/>
          <w:b/>
          <w:color w:val="000000"/>
        </w:rPr>
        <w:t>-22</w:t>
      </w:r>
    </w:p>
    <w:p w:rsidR="00F2080E" w:rsidRPr="00F2080E" w:rsidRDefault="00F2080E" w:rsidP="00F2080E">
      <w:pPr>
        <w:spacing w:after="0" w:line="240" w:lineRule="auto"/>
        <w:jc w:val="center"/>
        <w:rPr>
          <w:rFonts w:ascii="Times New Roman" w:hAnsi="Times New Roman" w:cs="Times New Roman"/>
          <w:b/>
          <w:color w:val="000000"/>
        </w:rPr>
      </w:pPr>
    </w:p>
    <w:p w:rsidR="00D75E8A" w:rsidRDefault="000F7E24" w:rsidP="00F2080E">
      <w:pPr>
        <w:spacing w:after="0" w:line="240" w:lineRule="auto"/>
        <w:ind w:firstLine="709"/>
        <w:jc w:val="both"/>
        <w:rPr>
          <w:rFonts w:ascii="Times New Roman" w:hAnsi="Times New Roman" w:cs="Times New Roman"/>
        </w:rPr>
      </w:pPr>
      <w:r w:rsidRPr="00441812">
        <w:rPr>
          <w:rFonts w:ascii="Times New Roman" w:eastAsia="Calibri" w:hAnsi="Times New Roman" w:cs="Times New Roman"/>
          <w:b/>
        </w:rPr>
        <w:t xml:space="preserve">Наименование объекта закупки: </w:t>
      </w:r>
      <w:r w:rsidR="0075464F" w:rsidRPr="0075464F">
        <w:rPr>
          <w:rFonts w:ascii="Times New Roman" w:hAnsi="Times New Roman" w:cs="Times New Roman"/>
        </w:rPr>
        <w:t>Выполнение работ по обеспечению в 2022 году застрахованного лица, пострадавшего в результате несчастного случая на производстве, протезами верхних конечностей</w:t>
      </w:r>
      <w:r w:rsidR="005466A4">
        <w:rPr>
          <w:rFonts w:ascii="Times New Roman" w:hAnsi="Times New Roman" w:cs="Times New Roman"/>
        </w:rPr>
        <w:t>.</w:t>
      </w:r>
    </w:p>
    <w:p w:rsidR="00D60FC5" w:rsidRDefault="00D60FC5" w:rsidP="00441812">
      <w:pPr>
        <w:spacing w:after="0" w:line="240" w:lineRule="auto"/>
        <w:ind w:firstLine="709"/>
        <w:jc w:val="both"/>
        <w:rPr>
          <w:rFonts w:ascii="Times New Roman" w:hAnsi="Times New Roman" w:cs="Times New Roman"/>
        </w:rPr>
      </w:pPr>
    </w:p>
    <w:tbl>
      <w:tblPr>
        <w:tblStyle w:val="1"/>
        <w:tblW w:w="10792" w:type="dxa"/>
        <w:jc w:val="center"/>
        <w:tblLook w:val="04A0" w:firstRow="1" w:lastRow="0" w:firstColumn="1" w:lastColumn="0" w:noHBand="0" w:noVBand="1"/>
      </w:tblPr>
      <w:tblGrid>
        <w:gridCol w:w="3261"/>
        <w:gridCol w:w="6096"/>
        <w:gridCol w:w="1435"/>
      </w:tblGrid>
      <w:tr w:rsidR="00D60FC5" w:rsidRPr="005B5C00" w:rsidTr="00FB7AD1">
        <w:trPr>
          <w:jc w:val="center"/>
        </w:trPr>
        <w:tc>
          <w:tcPr>
            <w:tcW w:w="3261" w:type="dxa"/>
          </w:tcPr>
          <w:p w:rsidR="00D60FC5" w:rsidRPr="005B5C00" w:rsidRDefault="00D60FC5" w:rsidP="00FB7AD1">
            <w:pPr>
              <w:widowControl w:val="0"/>
              <w:suppressAutoHyphens/>
              <w:jc w:val="center"/>
              <w:rPr>
                <w:rFonts w:eastAsia="Lucida Sans Unicode" w:cs="Calibri"/>
                <w:b/>
                <w:kern w:val="1"/>
                <w:sz w:val="22"/>
                <w:szCs w:val="22"/>
                <w:lang w:eastAsia="ar-SA"/>
              </w:rPr>
            </w:pPr>
            <w:r w:rsidRPr="005B5C00">
              <w:rPr>
                <w:rFonts w:eastAsia="Lucida Sans Unicode" w:cs="Calibri"/>
                <w:b/>
                <w:kern w:val="1"/>
                <w:sz w:val="22"/>
                <w:szCs w:val="22"/>
                <w:lang w:eastAsia="ar-SA"/>
              </w:rPr>
              <w:t>Наименование</w:t>
            </w:r>
          </w:p>
        </w:tc>
        <w:tc>
          <w:tcPr>
            <w:tcW w:w="6096" w:type="dxa"/>
          </w:tcPr>
          <w:p w:rsidR="00D60FC5" w:rsidRPr="005B5C00" w:rsidRDefault="00D60FC5" w:rsidP="00FB7AD1">
            <w:pPr>
              <w:widowControl w:val="0"/>
              <w:suppressAutoHyphens/>
              <w:jc w:val="center"/>
              <w:rPr>
                <w:rFonts w:eastAsia="Lucida Sans Unicode" w:cs="Calibri"/>
                <w:b/>
                <w:kern w:val="1"/>
                <w:sz w:val="22"/>
                <w:szCs w:val="22"/>
                <w:lang w:eastAsia="ar-SA"/>
              </w:rPr>
            </w:pPr>
            <w:r w:rsidRPr="005B5C00">
              <w:rPr>
                <w:rFonts w:eastAsia="Lucida Sans Unicode" w:cs="Calibri"/>
                <w:b/>
                <w:kern w:val="1"/>
                <w:sz w:val="22"/>
                <w:szCs w:val="22"/>
                <w:lang w:eastAsia="ar-SA"/>
              </w:rPr>
              <w:t>Характеристики</w:t>
            </w:r>
          </w:p>
        </w:tc>
        <w:tc>
          <w:tcPr>
            <w:tcW w:w="1435" w:type="dxa"/>
          </w:tcPr>
          <w:p w:rsidR="00D60FC5" w:rsidRPr="005B5C00" w:rsidRDefault="00D60FC5" w:rsidP="00FB7AD1">
            <w:pPr>
              <w:widowControl w:val="0"/>
              <w:suppressAutoHyphens/>
              <w:jc w:val="center"/>
              <w:rPr>
                <w:rFonts w:eastAsia="Lucida Sans Unicode" w:cs="Calibri"/>
                <w:b/>
                <w:kern w:val="1"/>
                <w:sz w:val="22"/>
                <w:szCs w:val="22"/>
                <w:lang w:eastAsia="ar-SA"/>
              </w:rPr>
            </w:pPr>
            <w:r w:rsidRPr="005B5C00">
              <w:rPr>
                <w:rFonts w:eastAsia="Lucida Sans Unicode" w:cs="Calibri"/>
                <w:b/>
                <w:kern w:val="1"/>
                <w:sz w:val="22"/>
                <w:szCs w:val="22"/>
                <w:lang w:eastAsia="ar-SA"/>
              </w:rPr>
              <w:t>Количество, штук</w:t>
            </w:r>
          </w:p>
        </w:tc>
      </w:tr>
      <w:tr w:rsidR="00D60FC5" w:rsidRPr="005B5C00" w:rsidTr="00FB7AD1">
        <w:trPr>
          <w:jc w:val="center"/>
        </w:trPr>
        <w:tc>
          <w:tcPr>
            <w:tcW w:w="3261" w:type="dxa"/>
          </w:tcPr>
          <w:p w:rsidR="00D60FC5" w:rsidRPr="005B5C00" w:rsidRDefault="006F4F02" w:rsidP="00FB7AD1">
            <w:pPr>
              <w:widowControl w:val="0"/>
              <w:suppressAutoHyphens/>
              <w:jc w:val="both"/>
              <w:rPr>
                <w:rFonts w:eastAsia="Lucida Sans Unicode" w:cs="Calibri"/>
                <w:kern w:val="1"/>
                <w:sz w:val="22"/>
                <w:szCs w:val="22"/>
                <w:lang w:eastAsia="ar-SA"/>
              </w:rPr>
            </w:pPr>
            <w:r w:rsidRPr="00B11BA0">
              <w:rPr>
                <w:rFonts w:eastAsia="Lucida Sans Unicode" w:cs="Calibri"/>
                <w:b/>
                <w:kern w:val="1"/>
                <w:sz w:val="22"/>
                <w:szCs w:val="22"/>
                <w:lang w:eastAsia="ar-SA"/>
              </w:rPr>
              <w:t>Протез плеча рабочий</w:t>
            </w:r>
            <w:r w:rsidRPr="005B5C00">
              <w:rPr>
                <w:rFonts w:eastAsia="Lucida Sans Unicode" w:cs="Calibri"/>
                <w:kern w:val="1"/>
                <w:sz w:val="22"/>
                <w:szCs w:val="22"/>
                <w:lang w:eastAsia="ar-SA"/>
              </w:rPr>
              <w:t xml:space="preserve"> (наименование по Приказу 86н от 13.02.2018г.).</w:t>
            </w:r>
          </w:p>
        </w:tc>
        <w:tc>
          <w:tcPr>
            <w:tcW w:w="6096" w:type="dxa"/>
          </w:tcPr>
          <w:p w:rsidR="00D60FC5" w:rsidRPr="005B5C00" w:rsidRDefault="006F4F02" w:rsidP="006F4F02">
            <w:pPr>
              <w:widowControl w:val="0"/>
              <w:suppressAutoHyphens/>
              <w:jc w:val="both"/>
              <w:rPr>
                <w:rFonts w:eastAsia="Lucida Sans Unicode" w:cs="Calibri"/>
                <w:kern w:val="1"/>
                <w:sz w:val="22"/>
                <w:szCs w:val="22"/>
                <w:lang w:eastAsia="ar-SA"/>
              </w:rPr>
            </w:pPr>
            <w:r w:rsidRPr="005B5C00">
              <w:rPr>
                <w:rFonts w:eastAsia="Lucida Sans Unicode" w:cs="Calibri"/>
                <w:kern w:val="1"/>
                <w:sz w:val="22"/>
                <w:szCs w:val="22"/>
                <w:lang w:eastAsia="ar-SA"/>
              </w:rPr>
              <w:t xml:space="preserve">Протез плеча рабочий должен изготавливаться по индивидуальному техпроцессу для сложного протезирования. Примерочная гильза должна изготавливаться по слепку из термопласта, постоянная приемная гильза из высокотемпературного силикона медицинского назначения с металлическими закладными элементами, несущая гильза должна быть из композитных материалов на основе акриловых смол. Протез плеча рабочий должен состоять из гильзы плеча, модуля замкового локтя с возможностью фиксации минимум в семи положениях сгибания, поворотного лучезапястного адаптера с регулируемой </w:t>
            </w:r>
            <w:proofErr w:type="spellStart"/>
            <w:r w:rsidRPr="005B5C00">
              <w:rPr>
                <w:rFonts w:eastAsia="Lucida Sans Unicode" w:cs="Calibri"/>
                <w:kern w:val="1"/>
                <w:sz w:val="22"/>
                <w:szCs w:val="22"/>
                <w:lang w:eastAsia="ar-SA"/>
              </w:rPr>
              <w:t>тугоподвижностью</w:t>
            </w:r>
            <w:proofErr w:type="spellEnd"/>
            <w:r w:rsidRPr="005B5C00">
              <w:rPr>
                <w:rFonts w:eastAsia="Lucida Sans Unicode" w:cs="Calibri"/>
                <w:kern w:val="1"/>
                <w:sz w:val="22"/>
                <w:szCs w:val="22"/>
                <w:lang w:eastAsia="ar-SA"/>
              </w:rPr>
              <w:t>, рабочего тягового «крюка-хука» и индивидуального крепления с силиконовым смягчителем подмышечной области. Протез должен иметь мягкое косметическое покрытие из вспененного материала покрытое нейлоновым рукавом. Внутренняя полость гильзы должна быть смягчена вкладной гильзой из силикона или для снижения воздействия ударных нагрузок на культю. Протез плеча рабочий должен предназначаться для пострадавших при одностороннем или двустороннем врожденном или ампутационном дефекте плеча на любом уровне. Протез должен представлять собой искусственную конечность, предназначенную для протезирования пострадавших всех половозрастных групп (кроме детей), имеющих ампутационные или врожденные дефекты верхних конечностей, а также для выполнения работ, связанных с профессиональной направленностью инвалида, а также операций по самообслуживанию в быту.</w:t>
            </w:r>
          </w:p>
        </w:tc>
        <w:tc>
          <w:tcPr>
            <w:tcW w:w="1435" w:type="dxa"/>
          </w:tcPr>
          <w:p w:rsidR="00D60FC5" w:rsidRPr="005B5C00" w:rsidRDefault="007A7711" w:rsidP="00FB7AD1">
            <w:pPr>
              <w:widowControl w:val="0"/>
              <w:suppressAutoHyphens/>
              <w:jc w:val="center"/>
              <w:rPr>
                <w:rFonts w:eastAsia="Lucida Sans Unicode" w:cs="Calibri"/>
                <w:kern w:val="1"/>
                <w:sz w:val="22"/>
                <w:szCs w:val="22"/>
                <w:lang w:eastAsia="ar-SA"/>
              </w:rPr>
            </w:pPr>
            <w:r w:rsidRPr="005B5C00">
              <w:rPr>
                <w:rFonts w:eastAsia="Calibri"/>
                <w:sz w:val="22"/>
                <w:szCs w:val="22"/>
              </w:rPr>
              <w:t>1</w:t>
            </w:r>
          </w:p>
        </w:tc>
      </w:tr>
      <w:tr w:rsidR="007A7711" w:rsidRPr="005B5C00" w:rsidTr="00FB7AD1">
        <w:trPr>
          <w:jc w:val="center"/>
        </w:trPr>
        <w:tc>
          <w:tcPr>
            <w:tcW w:w="3261" w:type="dxa"/>
          </w:tcPr>
          <w:p w:rsidR="007A7711" w:rsidRPr="005B5C00" w:rsidRDefault="007A7711" w:rsidP="007F16B6">
            <w:pPr>
              <w:widowControl w:val="0"/>
              <w:suppressAutoHyphens/>
              <w:jc w:val="both"/>
              <w:rPr>
                <w:rFonts w:eastAsia="Lucida Sans Unicode" w:cs="Calibri"/>
                <w:kern w:val="1"/>
                <w:sz w:val="22"/>
                <w:szCs w:val="22"/>
                <w:lang w:eastAsia="ar-SA"/>
              </w:rPr>
            </w:pPr>
            <w:r w:rsidRPr="007A7711">
              <w:rPr>
                <w:b/>
                <w:color w:val="000000"/>
                <w:sz w:val="22"/>
                <w:szCs w:val="22"/>
                <w:lang w:eastAsia="zh-CN" w:bidi="hi-IN"/>
              </w:rPr>
              <w:t xml:space="preserve">Протез плеча </w:t>
            </w:r>
            <w:r w:rsidR="007F16B6" w:rsidRPr="007A7711">
              <w:rPr>
                <w:b/>
                <w:color w:val="000000"/>
                <w:sz w:val="22"/>
                <w:szCs w:val="22"/>
                <w:lang w:eastAsia="zh-CN" w:bidi="hi-IN"/>
              </w:rPr>
              <w:t>активный</w:t>
            </w:r>
            <w:r w:rsidR="007F16B6">
              <w:rPr>
                <w:b/>
                <w:color w:val="000000"/>
                <w:sz w:val="22"/>
                <w:szCs w:val="22"/>
                <w:lang w:eastAsia="zh-CN" w:bidi="hi-IN"/>
              </w:rPr>
              <w:t xml:space="preserve"> </w:t>
            </w:r>
            <w:r w:rsidR="007F16B6" w:rsidRPr="007A7711">
              <w:rPr>
                <w:color w:val="000000"/>
                <w:sz w:val="22"/>
                <w:szCs w:val="22"/>
                <w:lang w:eastAsia="zh-CN" w:bidi="hi-IN"/>
              </w:rPr>
              <w:t>(</w:t>
            </w:r>
            <w:r w:rsidRPr="007A7711">
              <w:rPr>
                <w:sz w:val="22"/>
                <w:szCs w:val="22"/>
                <w:lang w:eastAsia="zh-CN" w:bidi="hi-IN"/>
              </w:rPr>
              <w:t>наименование по Приказу 86н от 13.02.2018г.).</w:t>
            </w:r>
          </w:p>
        </w:tc>
        <w:tc>
          <w:tcPr>
            <w:tcW w:w="6096" w:type="dxa"/>
          </w:tcPr>
          <w:p w:rsidR="007A7711" w:rsidRPr="007A7711" w:rsidRDefault="007A7711" w:rsidP="007A7711">
            <w:pPr>
              <w:widowControl w:val="0"/>
              <w:autoSpaceDE w:val="0"/>
              <w:autoSpaceDN w:val="0"/>
              <w:adjustRightInd w:val="0"/>
              <w:jc w:val="both"/>
              <w:rPr>
                <w:color w:val="000000"/>
                <w:sz w:val="22"/>
                <w:szCs w:val="22"/>
                <w:lang w:eastAsia="zh-CN" w:bidi="hi-IN"/>
              </w:rPr>
            </w:pPr>
            <w:r w:rsidRPr="007A7711">
              <w:rPr>
                <w:color w:val="000000"/>
                <w:sz w:val="22"/>
                <w:szCs w:val="22"/>
                <w:lang w:eastAsia="zh-CN" w:bidi="hi-IN"/>
              </w:rPr>
              <w:t xml:space="preserve">Протез плеча активный (тяговый) должен предназначаться для обеспечения действий пострадавшего по самообслуживанию. Протез должен изготавливается по индивидуальному техпроцессу, с приемной гильзой по слепку и биомеханическим контролем результата протезирования. Постоянный. Пробная приемная гильза должна изготавливаться по слепку из термопласта; постоянная приемная гильза по слепку из высокотемпературного силикона медицинского назначения с металлическими закладными элементами, несущая гильза должна быть из композитных материалов на основе акриловых смол. Узел локоть-предплечье должен быть снабжен устройством бесступенчатой фиксации и </w:t>
            </w:r>
            <w:proofErr w:type="spellStart"/>
            <w:r w:rsidRPr="007A7711">
              <w:rPr>
                <w:color w:val="000000"/>
                <w:sz w:val="22"/>
                <w:szCs w:val="22"/>
                <w:lang w:eastAsia="zh-CN" w:bidi="hi-IN"/>
              </w:rPr>
              <w:t>расфиксации</w:t>
            </w:r>
            <w:proofErr w:type="spellEnd"/>
            <w:r w:rsidRPr="007A7711">
              <w:rPr>
                <w:color w:val="000000"/>
                <w:sz w:val="22"/>
                <w:szCs w:val="22"/>
                <w:lang w:eastAsia="zh-CN" w:bidi="hi-IN"/>
              </w:rPr>
              <w:t xml:space="preserve"> локтевого шарнира; а также узлом пассивной ротации плеча в пределах 45 градусов с регулируемой подвижностью. Искусственная кисть должна быть с гибкой тягой каркасной с пружинным </w:t>
            </w:r>
            <w:proofErr w:type="spellStart"/>
            <w:r w:rsidRPr="007A7711">
              <w:rPr>
                <w:color w:val="000000"/>
                <w:sz w:val="22"/>
                <w:szCs w:val="22"/>
                <w:lang w:eastAsia="zh-CN" w:bidi="hi-IN"/>
              </w:rPr>
              <w:t>схватом</w:t>
            </w:r>
            <w:proofErr w:type="spellEnd"/>
            <w:r w:rsidRPr="007A7711">
              <w:rPr>
                <w:color w:val="000000"/>
                <w:sz w:val="22"/>
                <w:szCs w:val="22"/>
                <w:lang w:eastAsia="zh-CN" w:bidi="hi-IN"/>
              </w:rPr>
              <w:t xml:space="preserve"> с повышенными функциональными характеристиками, снабженную защелкивающимся крюком. Должны быть косметические оболочки на кисть – 6 шт., должно быть крепление бандажное. Крепление протеза должно быть выполнено в виде подмышечной петли из капроновой ленты с клапанами и эластичными оттяжками на стороне протеза для удержания протеза и присоединения пальцевой и локтевой тяг.</w:t>
            </w:r>
          </w:p>
          <w:p w:rsidR="007A7711" w:rsidRPr="005B5C00" w:rsidRDefault="007A7711" w:rsidP="007A7711">
            <w:pPr>
              <w:widowControl w:val="0"/>
              <w:suppressAutoHyphens/>
              <w:jc w:val="both"/>
              <w:rPr>
                <w:rFonts w:eastAsia="Lucida Sans Unicode" w:cs="Calibri"/>
                <w:kern w:val="1"/>
                <w:sz w:val="22"/>
                <w:szCs w:val="22"/>
                <w:lang w:eastAsia="ar-SA"/>
              </w:rPr>
            </w:pPr>
            <w:r w:rsidRPr="005B5C00">
              <w:rPr>
                <w:color w:val="000000"/>
                <w:sz w:val="22"/>
                <w:szCs w:val="22"/>
                <w:lang w:eastAsia="zh-CN" w:bidi="hi-IN"/>
              </w:rPr>
              <w:t>Косметическая оболочка должна соответствовать типоразмеру искусственной кисти и цвету естественной кожи инвалида.</w:t>
            </w:r>
          </w:p>
        </w:tc>
        <w:tc>
          <w:tcPr>
            <w:tcW w:w="1435" w:type="dxa"/>
          </w:tcPr>
          <w:p w:rsidR="007A7711" w:rsidRPr="005B5C00" w:rsidRDefault="00BE11B8" w:rsidP="00FB7AD1">
            <w:pPr>
              <w:widowControl w:val="0"/>
              <w:suppressAutoHyphens/>
              <w:jc w:val="center"/>
              <w:rPr>
                <w:rFonts w:eastAsia="Lucida Sans Unicode" w:cs="Calibri"/>
                <w:kern w:val="1"/>
                <w:sz w:val="22"/>
                <w:szCs w:val="22"/>
                <w:lang w:eastAsia="ar-SA"/>
              </w:rPr>
            </w:pPr>
            <w:r w:rsidRPr="005B5C00">
              <w:rPr>
                <w:rFonts w:eastAsia="Calibri"/>
                <w:sz w:val="22"/>
                <w:szCs w:val="22"/>
              </w:rPr>
              <w:t>1</w:t>
            </w:r>
          </w:p>
        </w:tc>
      </w:tr>
      <w:tr w:rsidR="0013290F" w:rsidRPr="005B5C00" w:rsidTr="00FB7AD1">
        <w:trPr>
          <w:jc w:val="center"/>
        </w:trPr>
        <w:tc>
          <w:tcPr>
            <w:tcW w:w="3261" w:type="dxa"/>
          </w:tcPr>
          <w:p w:rsidR="0013290F" w:rsidRPr="005B5C00" w:rsidRDefault="0013290F" w:rsidP="00FB7AD1">
            <w:pPr>
              <w:widowControl w:val="0"/>
              <w:suppressAutoHyphens/>
              <w:jc w:val="both"/>
              <w:rPr>
                <w:b/>
                <w:color w:val="000000"/>
                <w:sz w:val="22"/>
                <w:szCs w:val="22"/>
                <w:lang w:eastAsia="zh-CN" w:bidi="hi-IN"/>
              </w:rPr>
            </w:pPr>
            <w:r w:rsidRPr="0013290F">
              <w:rPr>
                <w:rFonts w:eastAsia="Calibri"/>
                <w:b/>
                <w:color w:val="000000"/>
                <w:sz w:val="22"/>
                <w:szCs w:val="22"/>
              </w:rPr>
              <w:lastRenderedPageBreak/>
              <w:t>Протез плеча косметический</w:t>
            </w:r>
            <w:r w:rsidRPr="0013290F">
              <w:rPr>
                <w:rFonts w:eastAsia="Calibri"/>
                <w:color w:val="000000"/>
                <w:sz w:val="22"/>
                <w:szCs w:val="22"/>
              </w:rPr>
              <w:t xml:space="preserve"> </w:t>
            </w:r>
            <w:r w:rsidRPr="0013290F">
              <w:rPr>
                <w:sz w:val="22"/>
                <w:szCs w:val="22"/>
                <w:lang w:eastAsia="zh-CN" w:bidi="hi-IN"/>
              </w:rPr>
              <w:t>(наименование по Приказу 86н от13.02.2018г.).</w:t>
            </w:r>
          </w:p>
        </w:tc>
        <w:tc>
          <w:tcPr>
            <w:tcW w:w="6096" w:type="dxa"/>
          </w:tcPr>
          <w:p w:rsidR="0013290F" w:rsidRPr="005B5C00" w:rsidRDefault="0013290F" w:rsidP="0013290F">
            <w:pPr>
              <w:widowControl w:val="0"/>
              <w:autoSpaceDE w:val="0"/>
              <w:autoSpaceDN w:val="0"/>
              <w:adjustRightInd w:val="0"/>
              <w:jc w:val="both"/>
              <w:rPr>
                <w:color w:val="000000"/>
                <w:sz w:val="22"/>
                <w:szCs w:val="22"/>
                <w:lang w:eastAsia="zh-CN" w:bidi="hi-IN"/>
              </w:rPr>
            </w:pPr>
            <w:r w:rsidRPr="005B5C00">
              <w:rPr>
                <w:rFonts w:eastAsia="Calibri"/>
                <w:color w:val="000000"/>
                <w:sz w:val="22"/>
                <w:szCs w:val="22"/>
                <w:lang w:eastAsia="en-US"/>
              </w:rPr>
              <w:t xml:space="preserve">Протез плеча косметический, должен быть предназначен при утрате эстетических параметров на уровне плеча. Протез должен изготавливаться из приемной гильзы плеча по слепку, комплекта узлов для протеза плеча косметического, узла локоть-предплечье </w:t>
            </w:r>
            <w:proofErr w:type="spellStart"/>
            <w:r w:rsidRPr="005B5C00">
              <w:rPr>
                <w:rFonts w:eastAsia="Calibri"/>
                <w:color w:val="000000"/>
                <w:sz w:val="22"/>
                <w:szCs w:val="22"/>
                <w:lang w:eastAsia="en-US"/>
              </w:rPr>
              <w:t>эндоскелетного</w:t>
            </w:r>
            <w:proofErr w:type="spellEnd"/>
            <w:r w:rsidRPr="005B5C00">
              <w:rPr>
                <w:rFonts w:eastAsia="Calibri"/>
                <w:color w:val="000000"/>
                <w:sz w:val="22"/>
                <w:szCs w:val="22"/>
                <w:lang w:eastAsia="en-US"/>
              </w:rPr>
              <w:t xml:space="preserve"> типа пассивного со ступенчатой фиксацией, с пассивной регулируемой ротацией плеча и предплечья, узла запястья, косметической кисти из силикона или пассивной искусственной кисти с косметической оболочкой из силикона. Узлы протеза должны быть покрыты мягкой поролоновой косметикой и обтянуты нейлоновым рукавом. Примерочная гильза должна быть из термопласта. Постоянная гильза плеча должна состоять из приемной гильзы, изготовленной по слепку с культи инвалида, из высокотемпературного силикона медицинского назначения с металлическими закладными элементами и несущей гильзы, изготовленной по индивидуальной модели из композитных материалов на основе акриловых смол. Крепление должно быть индивидуальное.</w:t>
            </w:r>
          </w:p>
        </w:tc>
        <w:tc>
          <w:tcPr>
            <w:tcW w:w="1435" w:type="dxa"/>
          </w:tcPr>
          <w:p w:rsidR="0013290F" w:rsidRPr="005B5C00" w:rsidRDefault="0083140F" w:rsidP="00FB7AD1">
            <w:pPr>
              <w:widowControl w:val="0"/>
              <w:suppressAutoHyphens/>
              <w:jc w:val="center"/>
              <w:rPr>
                <w:rFonts w:eastAsia="Calibri"/>
                <w:sz w:val="22"/>
                <w:szCs w:val="22"/>
              </w:rPr>
            </w:pPr>
            <w:r>
              <w:rPr>
                <w:rFonts w:eastAsia="Calibri"/>
                <w:sz w:val="22"/>
                <w:szCs w:val="22"/>
              </w:rPr>
              <w:t>2</w:t>
            </w:r>
          </w:p>
        </w:tc>
      </w:tr>
      <w:tr w:rsidR="00D60FC5" w:rsidRPr="005B5C00" w:rsidTr="00FB7AD1">
        <w:trPr>
          <w:jc w:val="center"/>
        </w:trPr>
        <w:tc>
          <w:tcPr>
            <w:tcW w:w="9357" w:type="dxa"/>
            <w:gridSpan w:val="2"/>
          </w:tcPr>
          <w:p w:rsidR="00D60FC5" w:rsidRPr="005B5C00" w:rsidRDefault="00D60FC5" w:rsidP="00FB7AD1">
            <w:pPr>
              <w:widowControl w:val="0"/>
              <w:suppressAutoHyphens/>
              <w:jc w:val="both"/>
              <w:rPr>
                <w:rFonts w:eastAsia="Lucida Sans Unicode" w:cs="Calibri"/>
                <w:kern w:val="1"/>
                <w:sz w:val="22"/>
                <w:szCs w:val="22"/>
                <w:lang w:eastAsia="ar-SA"/>
              </w:rPr>
            </w:pPr>
            <w:r w:rsidRPr="005B5C00">
              <w:rPr>
                <w:rFonts w:eastAsia="Lucida Sans Unicode" w:cs="Calibri"/>
                <w:b/>
                <w:kern w:val="1"/>
                <w:sz w:val="22"/>
                <w:szCs w:val="22"/>
                <w:lang w:eastAsia="ar-SA"/>
              </w:rPr>
              <w:t>Итого:</w:t>
            </w:r>
          </w:p>
        </w:tc>
        <w:tc>
          <w:tcPr>
            <w:tcW w:w="1435" w:type="dxa"/>
          </w:tcPr>
          <w:p w:rsidR="00D60FC5" w:rsidRPr="005B5C00" w:rsidRDefault="00F43F56" w:rsidP="00FB7AD1">
            <w:pPr>
              <w:widowControl w:val="0"/>
              <w:suppressAutoHyphens/>
              <w:jc w:val="center"/>
              <w:rPr>
                <w:rFonts w:eastAsia="Lucida Sans Unicode" w:cs="Calibri"/>
                <w:b/>
                <w:kern w:val="1"/>
                <w:sz w:val="22"/>
                <w:szCs w:val="22"/>
                <w:lang w:eastAsia="ar-SA"/>
              </w:rPr>
            </w:pPr>
            <w:r>
              <w:rPr>
                <w:rFonts w:eastAsia="Lucida Sans Unicode" w:cs="Calibri"/>
                <w:b/>
                <w:kern w:val="1"/>
                <w:sz w:val="22"/>
                <w:szCs w:val="22"/>
                <w:lang w:eastAsia="ar-SA"/>
              </w:rPr>
              <w:t>4</w:t>
            </w:r>
            <w:bookmarkStart w:id="0" w:name="_GoBack"/>
            <w:bookmarkEnd w:id="0"/>
          </w:p>
        </w:tc>
      </w:tr>
    </w:tbl>
    <w:p w:rsidR="00D60FC5" w:rsidRDefault="00D60FC5" w:rsidP="00441812">
      <w:pPr>
        <w:spacing w:after="0" w:line="240" w:lineRule="auto"/>
        <w:ind w:firstLine="709"/>
        <w:jc w:val="both"/>
        <w:rPr>
          <w:rFonts w:ascii="Times New Roman" w:hAnsi="Times New Roman" w:cs="Times New Roman"/>
        </w:rPr>
      </w:pPr>
    </w:p>
    <w:p w:rsidR="00FD2182" w:rsidRPr="00FD2182" w:rsidRDefault="00FD2182" w:rsidP="00FD2182">
      <w:pPr>
        <w:widowControl w:val="0"/>
        <w:autoSpaceDE w:val="0"/>
        <w:autoSpaceDN w:val="0"/>
        <w:adjustRightInd w:val="0"/>
        <w:spacing w:after="0" w:line="240" w:lineRule="auto"/>
        <w:ind w:firstLine="567"/>
        <w:jc w:val="both"/>
        <w:rPr>
          <w:rFonts w:ascii="Times New Roman" w:eastAsia="Times New Roman" w:hAnsi="Times New Roman" w:cs="Times New Roman"/>
          <w:lang w:eastAsia="zh-CN" w:bidi="hi-IN"/>
        </w:rPr>
      </w:pPr>
      <w:r w:rsidRPr="00FD2182">
        <w:rPr>
          <w:rFonts w:ascii="Times New Roman" w:eastAsia="Times New Roman" w:hAnsi="Times New Roman" w:cs="Times New Roman"/>
          <w:lang w:eastAsia="zh-CN" w:bidi="hi-IN"/>
        </w:rPr>
        <w:t>Протезы верхних конечностей должны соответствовать требованиям Национальных стандартов Российской Федерации: ГОСТ Р 52770-2016 «Изделия медицинские. Требования безопасности. Методы санитарно-химических и токсикологических испытан</w:t>
      </w:r>
      <w:r w:rsidR="00B374B1" w:rsidRPr="008644B6">
        <w:rPr>
          <w:rFonts w:ascii="Times New Roman" w:eastAsia="Times New Roman" w:hAnsi="Times New Roman" w:cs="Times New Roman"/>
          <w:lang w:eastAsia="zh-CN" w:bidi="hi-IN"/>
        </w:rPr>
        <w:t>ий»,</w:t>
      </w:r>
      <w:r w:rsidRPr="00FD2182">
        <w:rPr>
          <w:rFonts w:ascii="Times New Roman" w:eastAsia="Times New Roman" w:hAnsi="Times New Roman" w:cs="Times New Roman"/>
          <w:lang w:eastAsia="zh-CN" w:bidi="hi-IN"/>
        </w:rPr>
        <w:t xml:space="preserve"> ГОСТ Р 51632-2021 «Технические средства реабилитации людей с ограничениями жизнедеятельности. Общие технические требования и методы испытаний», ГОСТ Р ИСО 22523-2007 «Протезы конечностей и </w:t>
      </w:r>
      <w:proofErr w:type="spellStart"/>
      <w:r w:rsidRPr="00FD2182">
        <w:rPr>
          <w:rFonts w:ascii="Times New Roman" w:eastAsia="Times New Roman" w:hAnsi="Times New Roman" w:cs="Times New Roman"/>
          <w:lang w:eastAsia="zh-CN" w:bidi="hi-IN"/>
        </w:rPr>
        <w:t>ортезы</w:t>
      </w:r>
      <w:proofErr w:type="spellEnd"/>
      <w:r w:rsidRPr="00FD2182">
        <w:rPr>
          <w:rFonts w:ascii="Times New Roman" w:eastAsia="Times New Roman" w:hAnsi="Times New Roman" w:cs="Times New Roman"/>
          <w:lang w:eastAsia="zh-CN" w:bidi="hi-IN"/>
        </w:rPr>
        <w:t xml:space="preserve"> наружные. Требования и методы испытаний», ГОСТ ISO 10993-1-2021 «Изделия медицинские. Оценка биологического действия медицинских изделий. Часть 1. Оценка и исследования в процессе менеджмента риска», ГОСТ ISO 10993-5-2011 «Изделия медицинские. Оценка биологического действия медицинских изделий. Часть 5. Исследования на </w:t>
      </w:r>
      <w:proofErr w:type="spellStart"/>
      <w:r w:rsidRPr="00FD2182">
        <w:rPr>
          <w:rFonts w:ascii="Times New Roman" w:eastAsia="Times New Roman" w:hAnsi="Times New Roman" w:cs="Times New Roman"/>
          <w:lang w:eastAsia="zh-CN" w:bidi="hi-IN"/>
        </w:rPr>
        <w:t>цитотоксичность</w:t>
      </w:r>
      <w:proofErr w:type="spellEnd"/>
      <w:r w:rsidRPr="00FD2182">
        <w:rPr>
          <w:rFonts w:ascii="Times New Roman" w:eastAsia="Times New Roman" w:hAnsi="Times New Roman" w:cs="Times New Roman"/>
          <w:lang w:eastAsia="zh-CN" w:bidi="hi-IN"/>
        </w:rPr>
        <w:t xml:space="preserve">: методы </w:t>
      </w:r>
      <w:proofErr w:type="spellStart"/>
      <w:r w:rsidRPr="00FD2182">
        <w:rPr>
          <w:rFonts w:ascii="Times New Roman" w:eastAsia="Times New Roman" w:hAnsi="Times New Roman" w:cs="Times New Roman"/>
          <w:lang w:eastAsia="zh-CN" w:bidi="hi-IN"/>
        </w:rPr>
        <w:t>in</w:t>
      </w:r>
      <w:proofErr w:type="spellEnd"/>
      <w:r w:rsidRPr="00FD2182">
        <w:rPr>
          <w:rFonts w:ascii="Times New Roman" w:eastAsia="Times New Roman" w:hAnsi="Times New Roman" w:cs="Times New Roman"/>
          <w:lang w:eastAsia="zh-CN" w:bidi="hi-IN"/>
        </w:rPr>
        <w:t xml:space="preserve"> </w:t>
      </w:r>
      <w:proofErr w:type="spellStart"/>
      <w:r w:rsidRPr="00FD2182">
        <w:rPr>
          <w:rFonts w:ascii="Times New Roman" w:eastAsia="Times New Roman" w:hAnsi="Times New Roman" w:cs="Times New Roman"/>
          <w:lang w:eastAsia="zh-CN" w:bidi="hi-IN"/>
        </w:rPr>
        <w:t>vitro</w:t>
      </w:r>
      <w:proofErr w:type="spellEnd"/>
      <w:r w:rsidRPr="00FD2182">
        <w:rPr>
          <w:rFonts w:ascii="Times New Roman" w:eastAsia="Times New Roman" w:hAnsi="Times New Roman" w:cs="Times New Roman"/>
          <w:lang w:eastAsia="zh-CN" w:bidi="hi-IN"/>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56138-2021 «Протезы верхних конечностей. Технические требования».</w:t>
      </w:r>
    </w:p>
    <w:p w:rsidR="00FD2182" w:rsidRPr="00FD2182" w:rsidRDefault="00FD2182" w:rsidP="00FD2182">
      <w:pPr>
        <w:widowControl w:val="0"/>
        <w:autoSpaceDE w:val="0"/>
        <w:autoSpaceDN w:val="0"/>
        <w:adjustRightInd w:val="0"/>
        <w:spacing w:after="0" w:line="240" w:lineRule="auto"/>
        <w:ind w:firstLine="567"/>
        <w:jc w:val="both"/>
        <w:rPr>
          <w:rFonts w:ascii="Times New Roman" w:eastAsia="Times New Roman" w:hAnsi="Times New Roman" w:cs="Times New Roman"/>
          <w:lang w:eastAsia="zh-CN" w:bidi="hi-IN"/>
        </w:rPr>
      </w:pPr>
      <w:r w:rsidRPr="00FD2182">
        <w:rPr>
          <w:rFonts w:ascii="Times New Roman" w:eastAsia="Times New Roman" w:hAnsi="Times New Roman" w:cs="Times New Roman"/>
          <w:lang w:eastAsia="zh-CN" w:bidi="hi-IN"/>
        </w:rPr>
        <w:t>Исполнитель обязан:</w:t>
      </w:r>
    </w:p>
    <w:p w:rsidR="00FD2182" w:rsidRPr="00FD2182" w:rsidRDefault="00FD2182" w:rsidP="00FD2182">
      <w:pPr>
        <w:widowControl w:val="0"/>
        <w:autoSpaceDE w:val="0"/>
        <w:autoSpaceDN w:val="0"/>
        <w:adjustRightInd w:val="0"/>
        <w:spacing w:after="0" w:line="240" w:lineRule="auto"/>
        <w:ind w:firstLine="567"/>
        <w:jc w:val="both"/>
        <w:rPr>
          <w:rFonts w:ascii="Times New Roman" w:eastAsia="Times New Roman" w:hAnsi="Times New Roman" w:cs="Times New Roman"/>
          <w:lang w:eastAsia="zh-CN" w:bidi="hi-IN"/>
        </w:rPr>
      </w:pPr>
      <w:r w:rsidRPr="00FD2182">
        <w:rPr>
          <w:rFonts w:ascii="Times New Roman" w:eastAsia="Times New Roman" w:hAnsi="Times New Roman" w:cs="Times New Roman"/>
          <w:lang w:eastAsia="zh-CN" w:bidi="hi-IN"/>
        </w:rPr>
        <w:t>- оборудовать помещение (пункт приема Получателя) необходимыми приспособлениями для замеров и примерки: кушетка, одноразовые пеленки и т.п.</w:t>
      </w:r>
    </w:p>
    <w:p w:rsidR="00FD2182" w:rsidRPr="00FD2182" w:rsidRDefault="00FD2182" w:rsidP="00FD2182">
      <w:pPr>
        <w:widowControl w:val="0"/>
        <w:autoSpaceDE w:val="0"/>
        <w:autoSpaceDN w:val="0"/>
        <w:adjustRightInd w:val="0"/>
        <w:spacing w:after="0" w:line="240" w:lineRule="auto"/>
        <w:ind w:firstLine="567"/>
        <w:jc w:val="both"/>
        <w:rPr>
          <w:rFonts w:ascii="Times New Roman" w:eastAsia="Times New Roman" w:hAnsi="Times New Roman" w:cs="Times New Roman"/>
          <w:lang w:eastAsia="zh-CN" w:bidi="hi-IN"/>
        </w:rPr>
      </w:pPr>
      <w:r w:rsidRPr="00FD2182">
        <w:rPr>
          <w:rFonts w:ascii="Times New Roman" w:eastAsia="Times New Roman" w:hAnsi="Times New Roman" w:cs="Times New Roman"/>
          <w:lang w:eastAsia="zh-CN" w:bidi="hi-IN"/>
        </w:rPr>
        <w:t>- организовать в пункте приема беспрепятственный доступ, в соответствии со ст. 15 Федерального закона от 24.11.1995г. № 181-ФЗ «О социальной защите инвалидов в Российской Федерации» (проход в пункт приема и передвижение по нему должны быть беспрепятственны для инвалидов, в случае необходимости, пункт приема должен быть оборудован пандусами для облегчения передвижения Получателя);</w:t>
      </w:r>
    </w:p>
    <w:p w:rsidR="00FD2182" w:rsidRPr="00FD2182" w:rsidRDefault="00FD2182" w:rsidP="00FD2182">
      <w:pPr>
        <w:widowControl w:val="0"/>
        <w:autoSpaceDE w:val="0"/>
        <w:autoSpaceDN w:val="0"/>
        <w:adjustRightInd w:val="0"/>
        <w:spacing w:after="0" w:line="240" w:lineRule="auto"/>
        <w:ind w:firstLine="567"/>
        <w:jc w:val="both"/>
        <w:rPr>
          <w:rFonts w:ascii="Times New Roman" w:eastAsia="Times New Roman" w:hAnsi="Times New Roman" w:cs="Times New Roman"/>
          <w:lang w:eastAsia="zh-CN" w:bidi="hi-IN"/>
        </w:rPr>
      </w:pPr>
      <w:r w:rsidRPr="00FD2182">
        <w:rPr>
          <w:rFonts w:ascii="Times New Roman" w:eastAsia="Times New Roman" w:hAnsi="Times New Roman" w:cs="Times New Roman"/>
          <w:lang w:eastAsia="zh-CN" w:bidi="hi-IN"/>
        </w:rPr>
        <w:t>- произвести индивидуальную подборку и разработку (изготовление) изделия Получателю с учетом его физиологических особенностей;</w:t>
      </w:r>
    </w:p>
    <w:p w:rsidR="00FD2182" w:rsidRPr="00FD2182" w:rsidRDefault="00FD2182" w:rsidP="00FD2182">
      <w:pPr>
        <w:widowControl w:val="0"/>
        <w:autoSpaceDE w:val="0"/>
        <w:autoSpaceDN w:val="0"/>
        <w:adjustRightInd w:val="0"/>
        <w:spacing w:after="0" w:line="240" w:lineRule="auto"/>
        <w:ind w:firstLine="567"/>
        <w:jc w:val="both"/>
        <w:rPr>
          <w:rFonts w:ascii="Times New Roman" w:eastAsia="Times New Roman" w:hAnsi="Times New Roman" w:cs="Times New Roman"/>
          <w:lang w:eastAsia="zh-CN" w:bidi="hi-IN"/>
        </w:rPr>
      </w:pPr>
      <w:r w:rsidRPr="00FD2182">
        <w:rPr>
          <w:rFonts w:ascii="Times New Roman" w:eastAsia="Times New Roman" w:hAnsi="Times New Roman" w:cs="Times New Roman"/>
          <w:lang w:eastAsia="zh-CN" w:bidi="hi-IN"/>
        </w:rPr>
        <w:t xml:space="preserve">- осуществлять прием Получателя в пунктах приема не менее 5 (пяти) дней в неделю, при этом, время работы пункта должно попадать в интервал с 08:00 до 19:00 (не менее 8 часов); </w:t>
      </w:r>
    </w:p>
    <w:p w:rsidR="00FD2182" w:rsidRPr="00FD2182" w:rsidRDefault="00FD2182" w:rsidP="00FD2182">
      <w:pPr>
        <w:widowControl w:val="0"/>
        <w:autoSpaceDE w:val="0"/>
        <w:autoSpaceDN w:val="0"/>
        <w:adjustRightInd w:val="0"/>
        <w:spacing w:after="0" w:line="240" w:lineRule="auto"/>
        <w:ind w:firstLine="567"/>
        <w:jc w:val="both"/>
        <w:rPr>
          <w:rFonts w:ascii="Times New Roman" w:eastAsia="Times New Roman" w:hAnsi="Times New Roman" w:cs="Times New Roman"/>
          <w:lang w:eastAsia="zh-CN" w:bidi="hi-IN"/>
        </w:rPr>
      </w:pPr>
      <w:r w:rsidRPr="00FD2182">
        <w:rPr>
          <w:rFonts w:ascii="Times New Roman" w:eastAsia="Times New Roman" w:hAnsi="Times New Roman" w:cs="Times New Roman"/>
          <w:lang w:eastAsia="zh-CN" w:bidi="hi-IN"/>
        </w:rPr>
        <w:t>- обеспечить наличие в пунктах приема туалетных комнат, оборудованных для посещения инвалидами, со свободным доступом.</w:t>
      </w:r>
    </w:p>
    <w:p w:rsidR="00FD2182" w:rsidRPr="00FD2182" w:rsidRDefault="00FD2182" w:rsidP="00FD218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zh-CN" w:bidi="hi-IN"/>
        </w:rPr>
      </w:pPr>
      <w:r w:rsidRPr="00FD2182">
        <w:rPr>
          <w:rFonts w:ascii="Times New Roman" w:eastAsia="Times New Roman" w:hAnsi="Times New Roman" w:cs="Times New Roman"/>
          <w:lang w:eastAsia="zh-CN" w:bidi="hi-IN"/>
        </w:rPr>
        <w:t>Исполнитель должен изготавливать протезы, удовлетворяющие следующим требованиям:</w:t>
      </w:r>
    </w:p>
    <w:p w:rsidR="00FD2182" w:rsidRPr="00FD2182" w:rsidRDefault="00FD2182" w:rsidP="00FD218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zh-CN" w:bidi="hi-IN"/>
        </w:rPr>
      </w:pPr>
      <w:r w:rsidRPr="00FD2182">
        <w:rPr>
          <w:rFonts w:ascii="Times New Roman" w:eastAsia="Times New Roman" w:hAnsi="Times New Roman" w:cs="Times New Roman"/>
          <w:lang w:eastAsia="zh-CN" w:bidi="hi-IN"/>
        </w:rPr>
        <w:t>- не должно создаваться угрозы для жизни и здоровья Получателя, окружающей среде, а также использование протезов не должно причинять вред имуществу получателя при его эксплуатации;</w:t>
      </w:r>
    </w:p>
    <w:p w:rsidR="00FD2182" w:rsidRPr="00FD2182" w:rsidRDefault="00FD2182" w:rsidP="00FD218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zh-CN" w:bidi="hi-IN"/>
        </w:rPr>
      </w:pPr>
      <w:r w:rsidRPr="00FD2182">
        <w:rPr>
          <w:rFonts w:ascii="Times New Roman" w:eastAsia="Times New Roman" w:hAnsi="Times New Roman" w:cs="Times New Roman"/>
          <w:lang w:eastAsia="zh-CN" w:bidi="hi-IN"/>
        </w:rPr>
        <w:t>- материалы, применяемые для изготовления протезов, должны быть разрешены к применению на территории Российской Федерации, а также не должны содержать ядовитых (токсичных) компонентов, не воздействовать на</w:t>
      </w:r>
      <w:r w:rsidR="00B374B1">
        <w:rPr>
          <w:rFonts w:ascii="Times New Roman" w:eastAsia="Times New Roman" w:hAnsi="Times New Roman" w:cs="Times New Roman"/>
          <w:lang w:eastAsia="zh-CN" w:bidi="hi-IN"/>
        </w:rPr>
        <w:t xml:space="preserve"> </w:t>
      </w:r>
      <w:r w:rsidRPr="00FD2182">
        <w:rPr>
          <w:rFonts w:ascii="Times New Roman" w:eastAsia="Times New Roman" w:hAnsi="Times New Roman" w:cs="Times New Roman"/>
          <w:lang w:eastAsia="zh-CN" w:bidi="hi-IN"/>
        </w:rPr>
        <w:t>цвет поверхности, с которой контактируют те или иные детали протеза при его нормальной эксплуатации;</w:t>
      </w:r>
    </w:p>
    <w:p w:rsidR="001523E9" w:rsidRPr="00FD2182" w:rsidRDefault="00FD2182" w:rsidP="00FD2182">
      <w:pPr>
        <w:widowControl w:val="0"/>
        <w:suppressLineNumbers/>
        <w:suppressAutoHyphens/>
        <w:spacing w:after="0" w:line="240" w:lineRule="auto"/>
        <w:ind w:firstLine="567"/>
        <w:jc w:val="both"/>
        <w:rPr>
          <w:rFonts w:ascii="Times New Roman" w:eastAsia="Arial Unicode MS" w:hAnsi="Times New Roman" w:cs="Times New Roman"/>
          <w:bCs/>
          <w:kern w:val="1"/>
          <w:lang w:eastAsia="zh-CN"/>
        </w:rPr>
      </w:pPr>
      <w:r w:rsidRPr="00FD2182">
        <w:rPr>
          <w:rFonts w:ascii="Times New Roman" w:eastAsia="Times New Roman" w:hAnsi="Times New Roman" w:cs="Times New Roman"/>
          <w:lang w:eastAsia="zh-CN" w:bidi="hi-IN"/>
        </w:rPr>
        <w:t>- протезы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r w:rsidR="001523E9" w:rsidRPr="00FD2182">
        <w:rPr>
          <w:rFonts w:ascii="Times New Roman" w:eastAsia="Arial Unicode MS" w:hAnsi="Times New Roman" w:cs="Times New Roman"/>
          <w:bCs/>
          <w:kern w:val="1"/>
          <w:lang w:eastAsia="zh-CN"/>
        </w:rPr>
        <w:t xml:space="preserve"> </w:t>
      </w:r>
    </w:p>
    <w:p w:rsidR="00E74D8F" w:rsidRDefault="00E74D8F" w:rsidP="00E31009">
      <w:pPr>
        <w:widowControl w:val="0"/>
        <w:suppressLineNumbers/>
        <w:suppressAutoHyphens/>
        <w:spacing w:after="0" w:line="240" w:lineRule="auto"/>
        <w:ind w:firstLine="567"/>
        <w:jc w:val="both"/>
        <w:rPr>
          <w:rFonts w:ascii="Times New Roman" w:eastAsia="Arial Unicode MS" w:hAnsi="Times New Roman" w:cs="Times New Roman"/>
          <w:bCs/>
          <w:kern w:val="1"/>
          <w:lang w:eastAsia="zh-CN"/>
        </w:rPr>
      </w:pPr>
    </w:p>
    <w:p w:rsidR="00E31009" w:rsidRPr="00E74D8F" w:rsidRDefault="00E31009" w:rsidP="00E31009">
      <w:pPr>
        <w:widowControl w:val="0"/>
        <w:suppressLineNumbers/>
        <w:suppressAutoHyphens/>
        <w:spacing w:after="0" w:line="240" w:lineRule="auto"/>
        <w:ind w:firstLine="567"/>
        <w:jc w:val="both"/>
        <w:rPr>
          <w:rFonts w:ascii="Times New Roman" w:eastAsia="Arial Unicode MS" w:hAnsi="Times New Roman" w:cs="Times New Roman"/>
          <w:b/>
          <w:kern w:val="1"/>
          <w:lang w:eastAsia="zh-CN"/>
        </w:rPr>
      </w:pPr>
      <w:r w:rsidRPr="00E74D8F">
        <w:rPr>
          <w:rFonts w:ascii="Times New Roman" w:eastAsia="Arial Unicode MS" w:hAnsi="Times New Roman" w:cs="Times New Roman"/>
          <w:b/>
          <w:bCs/>
          <w:kern w:val="1"/>
          <w:lang w:eastAsia="zh-CN"/>
        </w:rPr>
        <w:t>Требования к гарантийному сроку товара, работы, услуги и (или) объему пред</w:t>
      </w:r>
      <w:r w:rsidR="00E74D8F">
        <w:rPr>
          <w:rFonts w:ascii="Times New Roman" w:eastAsia="Arial Unicode MS" w:hAnsi="Times New Roman" w:cs="Times New Roman"/>
          <w:b/>
          <w:bCs/>
          <w:kern w:val="1"/>
          <w:lang w:eastAsia="zh-CN"/>
        </w:rPr>
        <w:t>оставления гарантий их качества</w:t>
      </w:r>
    </w:p>
    <w:p w:rsidR="00E31009" w:rsidRPr="001D7608" w:rsidRDefault="00E31009" w:rsidP="00E31009">
      <w:pPr>
        <w:widowControl w:val="0"/>
        <w:autoSpaceDE w:val="0"/>
        <w:autoSpaceDN w:val="0"/>
        <w:adjustRightInd w:val="0"/>
        <w:spacing w:after="0" w:line="240" w:lineRule="auto"/>
        <w:ind w:firstLine="567"/>
        <w:jc w:val="both"/>
        <w:rPr>
          <w:rFonts w:ascii="Times New Roman" w:eastAsia="Times New Roman" w:hAnsi="Times New Roman" w:cs="Times New Roman"/>
          <w:lang w:eastAsia="zh-CN" w:bidi="hi-IN"/>
        </w:rPr>
      </w:pPr>
      <w:r w:rsidRPr="00E31009">
        <w:rPr>
          <w:rFonts w:ascii="Times New Roman" w:eastAsia="Times New Roman" w:hAnsi="Times New Roman" w:cs="Times New Roman"/>
          <w:lang w:eastAsia="zh-CN" w:bidi="hi-IN"/>
        </w:rPr>
        <w:t>Гарантийный срок пользования протеза плеча косметического, протеза плеча рабочего, прот</w:t>
      </w:r>
      <w:r>
        <w:rPr>
          <w:rFonts w:ascii="Times New Roman" w:eastAsia="Times New Roman" w:hAnsi="Times New Roman" w:cs="Times New Roman"/>
          <w:lang w:eastAsia="zh-CN" w:bidi="hi-IN"/>
        </w:rPr>
        <w:t xml:space="preserve">еза плеча активного </w:t>
      </w:r>
      <w:r w:rsidRPr="001D7608">
        <w:rPr>
          <w:rFonts w:ascii="Times New Roman" w:eastAsia="Times New Roman" w:hAnsi="Times New Roman" w:cs="Times New Roman"/>
          <w:lang w:eastAsia="zh-CN" w:bidi="hi-IN"/>
        </w:rPr>
        <w:t xml:space="preserve">(тягового) должен быть не менее 12 (двенадцати) месяцев с момента подписания Получателем Накладной о получении результата Работ, и не может быть меньше установленного изготовителем гарантийного срока эксплуатации. Исполнитель предоставляет гарантию на результат выполненных работ, производит за счет </w:t>
      </w:r>
      <w:r w:rsidRPr="001D7608">
        <w:rPr>
          <w:rFonts w:ascii="Times New Roman" w:eastAsia="Times New Roman" w:hAnsi="Times New Roman" w:cs="Times New Roman"/>
          <w:lang w:eastAsia="zh-CN" w:bidi="hi-IN"/>
        </w:rPr>
        <w:lastRenderedPageBreak/>
        <w:t xml:space="preserve">собственных средств в период гарантийного срока эксплуатации гарантийный ремонт или замену Изделия, вышедшего из строя до истечения гарантийного срока. Гарантия качества результата работ распространяется на все составляющие результата работ. </w:t>
      </w:r>
    </w:p>
    <w:p w:rsidR="00B83B39" w:rsidRPr="00E31009" w:rsidRDefault="00E31009" w:rsidP="00E31009">
      <w:pPr>
        <w:spacing w:after="0" w:line="240" w:lineRule="auto"/>
        <w:ind w:firstLine="567"/>
        <w:jc w:val="both"/>
        <w:rPr>
          <w:rFonts w:ascii="Times New Roman" w:eastAsia="Calibri" w:hAnsi="Times New Roman" w:cs="Times New Roman"/>
        </w:rPr>
      </w:pPr>
      <w:r w:rsidRPr="001D7608">
        <w:rPr>
          <w:rFonts w:ascii="Times New Roman" w:eastAsia="Times New Roman" w:hAnsi="Times New Roman" w:cs="Times New Roman"/>
          <w:lang w:eastAsia="zh-CN" w:bidi="hi-IN"/>
        </w:rPr>
        <w:t>С</w:t>
      </w:r>
      <w:r w:rsidR="000F05AD" w:rsidRPr="001D7608">
        <w:rPr>
          <w:rFonts w:ascii="Times New Roman" w:eastAsia="Times New Roman" w:hAnsi="Times New Roman" w:cs="Times New Roman"/>
          <w:lang w:eastAsia="zh-CN" w:bidi="hi-IN"/>
        </w:rPr>
        <w:t>рок пользования</w:t>
      </w:r>
      <w:r w:rsidRPr="001D7608">
        <w:rPr>
          <w:rFonts w:ascii="Times New Roman" w:eastAsia="Times New Roman" w:hAnsi="Times New Roman" w:cs="Times New Roman"/>
          <w:lang w:eastAsia="zh-CN" w:bidi="hi-IN"/>
        </w:rPr>
        <w:t xml:space="preserve"> протеза плеча косметического, протеза плеча рабочего, протеза активного (тягового)</w:t>
      </w:r>
      <w:r w:rsidR="000F05AD" w:rsidRPr="001D7608">
        <w:rPr>
          <w:rFonts w:ascii="Times New Roman" w:eastAsia="Times New Roman" w:hAnsi="Times New Roman" w:cs="Times New Roman"/>
          <w:lang w:eastAsia="zh-CN" w:bidi="hi-IN"/>
        </w:rPr>
        <w:t xml:space="preserve"> должен быть</w:t>
      </w:r>
      <w:r w:rsidRPr="001D7608">
        <w:rPr>
          <w:rFonts w:ascii="Times New Roman" w:eastAsia="Times New Roman" w:hAnsi="Times New Roman" w:cs="Times New Roman"/>
          <w:lang w:eastAsia="zh-CN" w:bidi="hi-IN"/>
        </w:rPr>
        <w:t xml:space="preserve"> не менее 24 (двадцати четырех) месяцев с момента подписания Получателем Накладной о получении результата Работ.</w:t>
      </w:r>
      <w:r>
        <w:rPr>
          <w:rFonts w:ascii="Times New Roman" w:eastAsia="Times New Roman" w:hAnsi="Times New Roman" w:cs="Times New Roman"/>
          <w:lang w:eastAsia="zh-CN" w:bidi="hi-IN"/>
        </w:rPr>
        <w:t xml:space="preserve"> </w:t>
      </w:r>
    </w:p>
    <w:sectPr w:rsidR="00B83B39" w:rsidRPr="00E31009" w:rsidSect="0013785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678E1"/>
    <w:multiLevelType w:val="hybridMultilevel"/>
    <w:tmpl w:val="5D5C04D4"/>
    <w:lvl w:ilvl="0" w:tplc="B9AC8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486E09"/>
    <w:multiLevelType w:val="hybridMultilevel"/>
    <w:tmpl w:val="5260AB4C"/>
    <w:lvl w:ilvl="0" w:tplc="B9AC8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487E77"/>
    <w:multiLevelType w:val="hybridMultilevel"/>
    <w:tmpl w:val="BA921AAE"/>
    <w:lvl w:ilvl="0" w:tplc="B9AC8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0606A7"/>
    <w:multiLevelType w:val="hybridMultilevel"/>
    <w:tmpl w:val="453A4CE2"/>
    <w:lvl w:ilvl="0" w:tplc="41ACC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CD527C"/>
    <w:multiLevelType w:val="hybridMultilevel"/>
    <w:tmpl w:val="5DC26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C041DB"/>
    <w:multiLevelType w:val="hybridMultilevel"/>
    <w:tmpl w:val="62BE9128"/>
    <w:lvl w:ilvl="0" w:tplc="41ACCE2C">
      <w:start w:val="1"/>
      <w:numFmt w:val="bullet"/>
      <w:lvlText w:val=""/>
      <w:lvlJc w:val="left"/>
      <w:pPr>
        <w:ind w:left="5039" w:hanging="360"/>
      </w:pPr>
      <w:rPr>
        <w:rFonts w:ascii="Symbol" w:hAnsi="Symbol" w:hint="default"/>
      </w:rPr>
    </w:lvl>
    <w:lvl w:ilvl="1" w:tplc="04190003" w:tentative="1">
      <w:start w:val="1"/>
      <w:numFmt w:val="bullet"/>
      <w:lvlText w:val="o"/>
      <w:lvlJc w:val="left"/>
      <w:pPr>
        <w:ind w:left="5759" w:hanging="360"/>
      </w:pPr>
      <w:rPr>
        <w:rFonts w:ascii="Courier New" w:hAnsi="Courier New" w:cs="Courier New" w:hint="default"/>
      </w:rPr>
    </w:lvl>
    <w:lvl w:ilvl="2" w:tplc="04190005" w:tentative="1">
      <w:start w:val="1"/>
      <w:numFmt w:val="bullet"/>
      <w:lvlText w:val=""/>
      <w:lvlJc w:val="left"/>
      <w:pPr>
        <w:ind w:left="6479" w:hanging="360"/>
      </w:pPr>
      <w:rPr>
        <w:rFonts w:ascii="Wingdings" w:hAnsi="Wingdings" w:hint="default"/>
      </w:rPr>
    </w:lvl>
    <w:lvl w:ilvl="3" w:tplc="04190001" w:tentative="1">
      <w:start w:val="1"/>
      <w:numFmt w:val="bullet"/>
      <w:lvlText w:val=""/>
      <w:lvlJc w:val="left"/>
      <w:pPr>
        <w:ind w:left="7199" w:hanging="360"/>
      </w:pPr>
      <w:rPr>
        <w:rFonts w:ascii="Symbol" w:hAnsi="Symbol" w:hint="default"/>
      </w:rPr>
    </w:lvl>
    <w:lvl w:ilvl="4" w:tplc="04190003" w:tentative="1">
      <w:start w:val="1"/>
      <w:numFmt w:val="bullet"/>
      <w:lvlText w:val="o"/>
      <w:lvlJc w:val="left"/>
      <w:pPr>
        <w:ind w:left="7919" w:hanging="360"/>
      </w:pPr>
      <w:rPr>
        <w:rFonts w:ascii="Courier New" w:hAnsi="Courier New" w:cs="Courier New" w:hint="default"/>
      </w:rPr>
    </w:lvl>
    <w:lvl w:ilvl="5" w:tplc="04190005" w:tentative="1">
      <w:start w:val="1"/>
      <w:numFmt w:val="bullet"/>
      <w:lvlText w:val=""/>
      <w:lvlJc w:val="left"/>
      <w:pPr>
        <w:ind w:left="8639" w:hanging="360"/>
      </w:pPr>
      <w:rPr>
        <w:rFonts w:ascii="Wingdings" w:hAnsi="Wingdings" w:hint="default"/>
      </w:rPr>
    </w:lvl>
    <w:lvl w:ilvl="6" w:tplc="04190001" w:tentative="1">
      <w:start w:val="1"/>
      <w:numFmt w:val="bullet"/>
      <w:lvlText w:val=""/>
      <w:lvlJc w:val="left"/>
      <w:pPr>
        <w:ind w:left="9359" w:hanging="360"/>
      </w:pPr>
      <w:rPr>
        <w:rFonts w:ascii="Symbol" w:hAnsi="Symbol" w:hint="default"/>
      </w:rPr>
    </w:lvl>
    <w:lvl w:ilvl="7" w:tplc="04190003" w:tentative="1">
      <w:start w:val="1"/>
      <w:numFmt w:val="bullet"/>
      <w:lvlText w:val="o"/>
      <w:lvlJc w:val="left"/>
      <w:pPr>
        <w:ind w:left="10079" w:hanging="360"/>
      </w:pPr>
      <w:rPr>
        <w:rFonts w:ascii="Courier New" w:hAnsi="Courier New" w:cs="Courier New" w:hint="default"/>
      </w:rPr>
    </w:lvl>
    <w:lvl w:ilvl="8" w:tplc="04190005" w:tentative="1">
      <w:start w:val="1"/>
      <w:numFmt w:val="bullet"/>
      <w:lvlText w:val=""/>
      <w:lvlJc w:val="left"/>
      <w:pPr>
        <w:ind w:left="10799" w:hanging="360"/>
      </w:pPr>
      <w:rPr>
        <w:rFonts w:ascii="Wingdings" w:hAnsi="Wingdings" w:hint="default"/>
      </w:rPr>
    </w:lvl>
  </w:abstractNum>
  <w:abstractNum w:abstractNumId="6">
    <w:nsid w:val="35F7713C"/>
    <w:multiLevelType w:val="hybridMultilevel"/>
    <w:tmpl w:val="CBFE46F0"/>
    <w:lvl w:ilvl="0" w:tplc="41ACC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446F6E"/>
    <w:multiLevelType w:val="hybridMultilevel"/>
    <w:tmpl w:val="405C6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6B5E5A"/>
    <w:multiLevelType w:val="hybridMultilevel"/>
    <w:tmpl w:val="C22A37F0"/>
    <w:lvl w:ilvl="0" w:tplc="B9AC89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4463F8"/>
    <w:multiLevelType w:val="hybridMultilevel"/>
    <w:tmpl w:val="9F0AE912"/>
    <w:lvl w:ilvl="0" w:tplc="1FD0E6DC">
      <w:start w:val="1"/>
      <w:numFmt w:val="decimal"/>
      <w:suff w:val="space"/>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4E19A7"/>
    <w:multiLevelType w:val="hybridMultilevel"/>
    <w:tmpl w:val="BF0EEBBA"/>
    <w:lvl w:ilvl="0" w:tplc="B9AC891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7866268C"/>
    <w:multiLevelType w:val="hybridMultilevel"/>
    <w:tmpl w:val="6B96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2"/>
  </w:num>
  <w:num w:numId="5">
    <w:abstractNumId w:val="4"/>
  </w:num>
  <w:num w:numId="6">
    <w:abstractNumId w:val="0"/>
  </w:num>
  <w:num w:numId="7">
    <w:abstractNumId w:val="9"/>
  </w:num>
  <w:num w:numId="8">
    <w:abstractNumId w:val="3"/>
  </w:num>
  <w:num w:numId="9">
    <w:abstractNumId w:val="5"/>
  </w:num>
  <w:num w:numId="10">
    <w:abstractNumId w:val="7"/>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61"/>
    <w:rsid w:val="0004440A"/>
    <w:rsid w:val="000771AC"/>
    <w:rsid w:val="000B2582"/>
    <w:rsid w:val="000C12DB"/>
    <w:rsid w:val="000F05AD"/>
    <w:rsid w:val="000F6B93"/>
    <w:rsid w:val="000F7E24"/>
    <w:rsid w:val="00100004"/>
    <w:rsid w:val="00115188"/>
    <w:rsid w:val="00132188"/>
    <w:rsid w:val="0013290F"/>
    <w:rsid w:val="00137850"/>
    <w:rsid w:val="0014434E"/>
    <w:rsid w:val="0014692A"/>
    <w:rsid w:val="001523E9"/>
    <w:rsid w:val="00165F0C"/>
    <w:rsid w:val="00177A4A"/>
    <w:rsid w:val="00183FA6"/>
    <w:rsid w:val="001B309E"/>
    <w:rsid w:val="001D7608"/>
    <w:rsid w:val="001E32B4"/>
    <w:rsid w:val="001F27C3"/>
    <w:rsid w:val="002030FD"/>
    <w:rsid w:val="00205119"/>
    <w:rsid w:val="002142BF"/>
    <w:rsid w:val="00215A6E"/>
    <w:rsid w:val="00217901"/>
    <w:rsid w:val="002442DE"/>
    <w:rsid w:val="00251EC6"/>
    <w:rsid w:val="00252650"/>
    <w:rsid w:val="002649E7"/>
    <w:rsid w:val="0027527C"/>
    <w:rsid w:val="002D0766"/>
    <w:rsid w:val="002E7FF8"/>
    <w:rsid w:val="0030275A"/>
    <w:rsid w:val="00305607"/>
    <w:rsid w:val="00322FCA"/>
    <w:rsid w:val="00355FD5"/>
    <w:rsid w:val="00362FDA"/>
    <w:rsid w:val="00377EE2"/>
    <w:rsid w:val="00383A25"/>
    <w:rsid w:val="00397F4B"/>
    <w:rsid w:val="003D4690"/>
    <w:rsid w:val="004001DB"/>
    <w:rsid w:val="00405581"/>
    <w:rsid w:val="00430D39"/>
    <w:rsid w:val="00441812"/>
    <w:rsid w:val="00456FFA"/>
    <w:rsid w:val="00465AA8"/>
    <w:rsid w:val="004A26A8"/>
    <w:rsid w:val="004A3575"/>
    <w:rsid w:val="004A37AF"/>
    <w:rsid w:val="004B3E0B"/>
    <w:rsid w:val="004B5894"/>
    <w:rsid w:val="00520145"/>
    <w:rsid w:val="0053746D"/>
    <w:rsid w:val="005466A4"/>
    <w:rsid w:val="0058377A"/>
    <w:rsid w:val="00591E8E"/>
    <w:rsid w:val="00594DFB"/>
    <w:rsid w:val="005A613E"/>
    <w:rsid w:val="005B40AD"/>
    <w:rsid w:val="005B5C00"/>
    <w:rsid w:val="005D7957"/>
    <w:rsid w:val="005E213C"/>
    <w:rsid w:val="0066276D"/>
    <w:rsid w:val="00680608"/>
    <w:rsid w:val="00680E68"/>
    <w:rsid w:val="00690FB9"/>
    <w:rsid w:val="006F3224"/>
    <w:rsid w:val="006F4F02"/>
    <w:rsid w:val="00717449"/>
    <w:rsid w:val="00743F50"/>
    <w:rsid w:val="0075464F"/>
    <w:rsid w:val="007555EE"/>
    <w:rsid w:val="00782A11"/>
    <w:rsid w:val="007A28D7"/>
    <w:rsid w:val="007A7711"/>
    <w:rsid w:val="007B1D59"/>
    <w:rsid w:val="007B79AD"/>
    <w:rsid w:val="007E432B"/>
    <w:rsid w:val="007E455E"/>
    <w:rsid w:val="007F16B6"/>
    <w:rsid w:val="007F5BF7"/>
    <w:rsid w:val="00806A61"/>
    <w:rsid w:val="008144BF"/>
    <w:rsid w:val="008173DB"/>
    <w:rsid w:val="0083140F"/>
    <w:rsid w:val="008514B5"/>
    <w:rsid w:val="008644B6"/>
    <w:rsid w:val="00873D6C"/>
    <w:rsid w:val="00874208"/>
    <w:rsid w:val="00894701"/>
    <w:rsid w:val="008C48BA"/>
    <w:rsid w:val="008E5B6A"/>
    <w:rsid w:val="008F211E"/>
    <w:rsid w:val="009163E6"/>
    <w:rsid w:val="00916638"/>
    <w:rsid w:val="0095274F"/>
    <w:rsid w:val="009532BB"/>
    <w:rsid w:val="00964BAE"/>
    <w:rsid w:val="00972549"/>
    <w:rsid w:val="009763F9"/>
    <w:rsid w:val="009778DC"/>
    <w:rsid w:val="009C1DF2"/>
    <w:rsid w:val="009D02E3"/>
    <w:rsid w:val="009D7FF4"/>
    <w:rsid w:val="00A36C0F"/>
    <w:rsid w:val="00A44C13"/>
    <w:rsid w:val="00A57899"/>
    <w:rsid w:val="00A61D9E"/>
    <w:rsid w:val="00A708DB"/>
    <w:rsid w:val="00AB203F"/>
    <w:rsid w:val="00AB336F"/>
    <w:rsid w:val="00AE24DD"/>
    <w:rsid w:val="00B02EFF"/>
    <w:rsid w:val="00B11BA0"/>
    <w:rsid w:val="00B325DF"/>
    <w:rsid w:val="00B374B1"/>
    <w:rsid w:val="00B37D7F"/>
    <w:rsid w:val="00B747C4"/>
    <w:rsid w:val="00B8125E"/>
    <w:rsid w:val="00B83B39"/>
    <w:rsid w:val="00BB3EA2"/>
    <w:rsid w:val="00BD5794"/>
    <w:rsid w:val="00BE11B8"/>
    <w:rsid w:val="00C27409"/>
    <w:rsid w:val="00C707AF"/>
    <w:rsid w:val="00CA5BA0"/>
    <w:rsid w:val="00D21FC7"/>
    <w:rsid w:val="00D24FD5"/>
    <w:rsid w:val="00D60FC5"/>
    <w:rsid w:val="00D67A8E"/>
    <w:rsid w:val="00D75E8A"/>
    <w:rsid w:val="00D828EA"/>
    <w:rsid w:val="00DC21C6"/>
    <w:rsid w:val="00DD16B8"/>
    <w:rsid w:val="00DD6D6A"/>
    <w:rsid w:val="00DE1853"/>
    <w:rsid w:val="00DE3E12"/>
    <w:rsid w:val="00E12342"/>
    <w:rsid w:val="00E31009"/>
    <w:rsid w:val="00E617E1"/>
    <w:rsid w:val="00E74D8F"/>
    <w:rsid w:val="00E913B3"/>
    <w:rsid w:val="00E92D49"/>
    <w:rsid w:val="00EC4199"/>
    <w:rsid w:val="00ED13B0"/>
    <w:rsid w:val="00F1610E"/>
    <w:rsid w:val="00F17AB1"/>
    <w:rsid w:val="00F2080E"/>
    <w:rsid w:val="00F27E41"/>
    <w:rsid w:val="00F43F56"/>
    <w:rsid w:val="00F76B92"/>
    <w:rsid w:val="00F76C40"/>
    <w:rsid w:val="00F823ED"/>
    <w:rsid w:val="00F86F66"/>
    <w:rsid w:val="00F95C62"/>
    <w:rsid w:val="00FA2E34"/>
    <w:rsid w:val="00FD2182"/>
    <w:rsid w:val="00FD2963"/>
    <w:rsid w:val="00FD3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D3F89-3598-48B1-9880-5A43996A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4BAE"/>
    <w:rPr>
      <w:color w:val="0000FF"/>
      <w:u w:val="single"/>
    </w:rPr>
  </w:style>
  <w:style w:type="paragraph" w:styleId="a4">
    <w:name w:val="List Paragraph"/>
    <w:basedOn w:val="a"/>
    <w:uiPriority w:val="34"/>
    <w:qFormat/>
    <w:rsid w:val="00A57899"/>
    <w:pPr>
      <w:ind w:left="720"/>
      <w:contextualSpacing/>
    </w:pPr>
  </w:style>
  <w:style w:type="character" w:customStyle="1" w:styleId="a5">
    <w:name w:val="Основной шрифт"/>
    <w:rsid w:val="002030FD"/>
  </w:style>
  <w:style w:type="paragraph" w:customStyle="1" w:styleId="Standard">
    <w:name w:val="Standard"/>
    <w:rsid w:val="002030FD"/>
    <w:pPr>
      <w:widowControl w:val="0"/>
      <w:suppressAutoHyphens/>
      <w:autoSpaceDN w:val="0"/>
      <w:spacing w:after="0" w:line="240" w:lineRule="auto"/>
    </w:pPr>
    <w:rPr>
      <w:rFonts w:ascii="Arial" w:eastAsia="SimSun" w:hAnsi="Arial" w:cs="Mangal"/>
      <w:kern w:val="3"/>
      <w:sz w:val="24"/>
      <w:szCs w:val="24"/>
      <w:lang w:eastAsia="zh-CN" w:bidi="hi-IN"/>
    </w:rPr>
  </w:style>
  <w:style w:type="table" w:styleId="a6">
    <w:name w:val="Table Grid"/>
    <w:basedOn w:val="a1"/>
    <w:uiPriority w:val="59"/>
    <w:rsid w:val="00441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747C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747C4"/>
    <w:rPr>
      <w:rFonts w:ascii="Segoe UI" w:hAnsi="Segoe UI" w:cs="Segoe UI"/>
      <w:sz w:val="18"/>
      <w:szCs w:val="18"/>
    </w:rPr>
  </w:style>
  <w:style w:type="table" w:customStyle="1" w:styleId="1">
    <w:name w:val="Сетка таблицы1"/>
    <w:basedOn w:val="a1"/>
    <w:next w:val="a6"/>
    <w:uiPriority w:val="39"/>
    <w:rsid w:val="002142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obileonline.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A77C8-2829-4E3D-9ECC-FAB3BF04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Pages>
  <Words>1229</Words>
  <Characters>7006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Броницкая Ольга Сергеевна</dc:creator>
  <cp:keywords/>
  <dc:description/>
  <cp:lastModifiedBy>Броницкая Ольга Сергеевна</cp:lastModifiedBy>
  <cp:revision>295</cp:revision>
  <cp:lastPrinted>2022-02-10T02:44:00Z</cp:lastPrinted>
  <dcterms:created xsi:type="dcterms:W3CDTF">2022-01-20T04:41:00Z</dcterms:created>
  <dcterms:modified xsi:type="dcterms:W3CDTF">2022-08-12T06:42:00Z</dcterms:modified>
</cp:coreProperties>
</file>