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08BA4" w14:textId="20FF57D5" w:rsidR="00D1519D" w:rsidRPr="004542A4" w:rsidRDefault="00C131AD" w:rsidP="00FE33DE">
      <w:pPr>
        <w:widowControl w:val="0"/>
        <w:ind w:left="10206"/>
        <w:jc w:val="center"/>
        <w:rPr>
          <w:szCs w:val="24"/>
        </w:rPr>
      </w:pPr>
      <w:r w:rsidRPr="004542A4">
        <w:rPr>
          <w:szCs w:val="24"/>
        </w:rPr>
        <w:t>Приложение № 1</w:t>
      </w:r>
    </w:p>
    <w:p w14:paraId="06000000" w14:textId="1ADF3612" w:rsidR="0052416F" w:rsidRPr="004542A4" w:rsidRDefault="00C131AD" w:rsidP="00451019">
      <w:pPr>
        <w:widowControl w:val="0"/>
        <w:ind w:left="10206"/>
        <w:jc w:val="center"/>
        <w:rPr>
          <w:b/>
          <w:szCs w:val="24"/>
        </w:rPr>
      </w:pPr>
      <w:r w:rsidRPr="004542A4">
        <w:rPr>
          <w:szCs w:val="24"/>
        </w:rPr>
        <w:t>к извещени</w:t>
      </w:r>
      <w:r w:rsidR="008831B7" w:rsidRPr="004542A4">
        <w:rPr>
          <w:szCs w:val="24"/>
        </w:rPr>
        <w:t>ю</w:t>
      </w:r>
    </w:p>
    <w:p w14:paraId="392E2712" w14:textId="77777777" w:rsidR="000579E5" w:rsidRDefault="000579E5" w:rsidP="00F935B8">
      <w:pPr>
        <w:widowControl w:val="0"/>
        <w:jc w:val="center"/>
        <w:rPr>
          <w:b/>
          <w:szCs w:val="24"/>
        </w:rPr>
      </w:pPr>
    </w:p>
    <w:p w14:paraId="07000000" w14:textId="14F39862" w:rsidR="0052416F" w:rsidRDefault="005F7457" w:rsidP="00F935B8">
      <w:pPr>
        <w:widowControl w:val="0"/>
        <w:jc w:val="center"/>
        <w:rPr>
          <w:b/>
          <w:szCs w:val="24"/>
        </w:rPr>
      </w:pPr>
      <w:r w:rsidRPr="00F935B8">
        <w:rPr>
          <w:b/>
          <w:szCs w:val="24"/>
        </w:rPr>
        <w:t>Техническое задание</w:t>
      </w:r>
      <w:r w:rsidR="00BF7B4A" w:rsidRPr="00F935B8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Default="005E5EAB" w:rsidP="00F935B8">
      <w:pPr>
        <w:widowControl w:val="0"/>
        <w:jc w:val="center"/>
        <w:rPr>
          <w:b/>
          <w:szCs w:val="24"/>
        </w:rPr>
      </w:pPr>
    </w:p>
    <w:p w14:paraId="758AFBFD" w14:textId="77777777" w:rsidR="000579E5" w:rsidRPr="009E38EB" w:rsidRDefault="000579E5" w:rsidP="000579E5">
      <w:pPr>
        <w:widowControl w:val="0"/>
        <w:jc w:val="center"/>
        <w:rPr>
          <w:rFonts w:eastAsia="Calibri"/>
          <w:b/>
          <w:bCs/>
          <w:szCs w:val="24"/>
          <w:lang w:eastAsia="en-US"/>
        </w:rPr>
      </w:pPr>
      <w:r w:rsidRPr="00D30EC3">
        <w:rPr>
          <w:rFonts w:eastAsia="Calibri"/>
          <w:b/>
          <w:bCs/>
          <w:szCs w:val="24"/>
          <w:lang w:eastAsia="en-US"/>
        </w:rPr>
        <w:t xml:space="preserve">Поставка </w:t>
      </w:r>
      <w:proofErr w:type="gramStart"/>
      <w:r w:rsidRPr="00D30EC3">
        <w:rPr>
          <w:rFonts w:eastAsia="Calibri"/>
          <w:b/>
          <w:bCs/>
          <w:szCs w:val="24"/>
          <w:lang w:eastAsia="en-US"/>
        </w:rPr>
        <w:t>электронных</w:t>
      </w:r>
      <w:proofErr w:type="gramEnd"/>
      <w:r w:rsidRPr="00D30EC3">
        <w:rPr>
          <w:rFonts w:eastAsia="Calibri"/>
          <w:b/>
          <w:bCs/>
          <w:szCs w:val="24"/>
          <w:lang w:eastAsia="en-US"/>
        </w:rPr>
        <w:t xml:space="preserve"> ручных </w:t>
      </w:r>
      <w:proofErr w:type="spellStart"/>
      <w:r w:rsidRPr="00D30EC3">
        <w:rPr>
          <w:rFonts w:eastAsia="Calibri"/>
          <w:b/>
          <w:bCs/>
          <w:szCs w:val="24"/>
          <w:lang w:eastAsia="en-US"/>
        </w:rPr>
        <w:t>видеоувеличителей</w:t>
      </w:r>
      <w:proofErr w:type="spellEnd"/>
    </w:p>
    <w:tbl>
      <w:tblPr>
        <w:tblStyle w:val="affff2"/>
        <w:tblW w:w="5022" w:type="pct"/>
        <w:tblLook w:val="04A0" w:firstRow="1" w:lastRow="0" w:firstColumn="1" w:lastColumn="0" w:noHBand="0" w:noVBand="1"/>
      </w:tblPr>
      <w:tblGrid>
        <w:gridCol w:w="540"/>
        <w:gridCol w:w="2131"/>
        <w:gridCol w:w="2828"/>
        <w:gridCol w:w="5263"/>
        <w:gridCol w:w="763"/>
        <w:gridCol w:w="653"/>
        <w:gridCol w:w="1176"/>
        <w:gridCol w:w="1497"/>
      </w:tblGrid>
      <w:tr w:rsidR="000579E5" w:rsidRPr="009E38EB" w14:paraId="6C0E9F6C" w14:textId="77777777" w:rsidTr="000579E5">
        <w:trPr>
          <w:trHeight w:val="874"/>
        </w:trPr>
        <w:tc>
          <w:tcPr>
            <w:tcW w:w="182" w:type="pct"/>
          </w:tcPr>
          <w:p w14:paraId="35CE5E74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t>№ п/п</w:t>
            </w:r>
          </w:p>
        </w:tc>
        <w:tc>
          <w:tcPr>
            <w:tcW w:w="717" w:type="pct"/>
          </w:tcPr>
          <w:p w14:paraId="490A52B2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t>Наименование товара, работ, услуг</w:t>
            </w:r>
          </w:p>
        </w:tc>
        <w:tc>
          <w:tcPr>
            <w:tcW w:w="952" w:type="pct"/>
          </w:tcPr>
          <w:p w14:paraId="2C13463D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proofErr w:type="gramStart"/>
            <w:r w:rsidRPr="009E38EB">
              <w:rPr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</w:t>
            </w:r>
            <w:r w:rsidRPr="009E38EB">
              <w:rPr>
                <w:szCs w:val="24"/>
                <w:lang w:eastAsia="ar-SA"/>
              </w:rPr>
              <w:lastRenderedPageBreak/>
              <w:t>мероприятий, технических средств реабилитации и</w:t>
            </w:r>
            <w:proofErr w:type="gramEnd"/>
            <w:r w:rsidRPr="009E38EB">
              <w:rPr>
                <w:szCs w:val="24"/>
                <w:lang w:eastAsia="ar-SA"/>
              </w:rPr>
              <w:t xml:space="preserve">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9E38EB">
              <w:rPr>
                <w:szCs w:val="24"/>
                <w:lang w:eastAsia="ar-SA"/>
              </w:rPr>
              <w:t>абилитации</w:t>
            </w:r>
            <w:proofErr w:type="spellEnd"/>
            <w:r w:rsidRPr="009E38EB">
              <w:rPr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772" w:type="pct"/>
          </w:tcPr>
          <w:p w14:paraId="7A7A6840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lastRenderedPageBreak/>
              <w:t>Описание объекта закупки</w:t>
            </w:r>
          </w:p>
        </w:tc>
        <w:tc>
          <w:tcPr>
            <w:tcW w:w="257" w:type="pct"/>
          </w:tcPr>
          <w:p w14:paraId="44FE5423" w14:textId="77777777" w:rsidR="000579E5" w:rsidRPr="009E38EB" w:rsidRDefault="000579E5" w:rsidP="00D90168">
            <w:pPr>
              <w:keepLines/>
              <w:ind w:right="66"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t>Кол-во</w:t>
            </w:r>
          </w:p>
        </w:tc>
        <w:tc>
          <w:tcPr>
            <w:tcW w:w="220" w:type="pct"/>
          </w:tcPr>
          <w:p w14:paraId="6BEEAA57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t>Ед. изм.</w:t>
            </w:r>
          </w:p>
        </w:tc>
        <w:tc>
          <w:tcPr>
            <w:tcW w:w="396" w:type="pct"/>
          </w:tcPr>
          <w:p w14:paraId="3E09AD76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t>Цена за ед. изм.</w:t>
            </w:r>
            <w:r w:rsidRPr="009E38EB">
              <w:rPr>
                <w:rStyle w:val="affff6"/>
                <w:szCs w:val="24"/>
              </w:rPr>
              <w:footnoteReference w:id="1"/>
            </w:r>
            <w:r w:rsidRPr="009E38EB">
              <w:rPr>
                <w:szCs w:val="24"/>
              </w:rPr>
              <w:t>, руб.</w:t>
            </w:r>
          </w:p>
        </w:tc>
        <w:tc>
          <w:tcPr>
            <w:tcW w:w="504" w:type="pct"/>
          </w:tcPr>
          <w:p w14:paraId="14506A67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t>Цена по позиции</w:t>
            </w:r>
            <w:r w:rsidRPr="009E38EB">
              <w:rPr>
                <w:rStyle w:val="affff6"/>
                <w:szCs w:val="24"/>
              </w:rPr>
              <w:footnoteReference w:id="2"/>
            </w:r>
            <w:r w:rsidRPr="009E38EB">
              <w:rPr>
                <w:szCs w:val="24"/>
              </w:rPr>
              <w:t>, руб.</w:t>
            </w:r>
          </w:p>
        </w:tc>
      </w:tr>
      <w:tr w:rsidR="000579E5" w:rsidRPr="009E38EB" w14:paraId="0858696B" w14:textId="77777777" w:rsidTr="000579E5">
        <w:tc>
          <w:tcPr>
            <w:tcW w:w="182" w:type="pct"/>
          </w:tcPr>
          <w:p w14:paraId="0806E04F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lastRenderedPageBreak/>
              <w:t>1</w:t>
            </w:r>
          </w:p>
        </w:tc>
        <w:tc>
          <w:tcPr>
            <w:tcW w:w="717" w:type="pct"/>
          </w:tcPr>
          <w:p w14:paraId="0AD7E3BC" w14:textId="77777777" w:rsidR="000579E5" w:rsidRPr="009E38EB" w:rsidRDefault="000579E5" w:rsidP="00D90168">
            <w:pPr>
              <w:rPr>
                <w:szCs w:val="24"/>
              </w:rPr>
            </w:pPr>
            <w:proofErr w:type="spellStart"/>
            <w:r w:rsidRPr="009E38EB">
              <w:rPr>
                <w:szCs w:val="24"/>
              </w:rPr>
              <w:t>Видеоувеличитель</w:t>
            </w:r>
            <w:proofErr w:type="spellEnd"/>
          </w:p>
        </w:tc>
        <w:tc>
          <w:tcPr>
            <w:tcW w:w="952" w:type="pct"/>
          </w:tcPr>
          <w:p w14:paraId="17485D25" w14:textId="77777777" w:rsidR="000579E5" w:rsidRPr="009E38EB" w:rsidRDefault="000579E5" w:rsidP="00D90168">
            <w:pPr>
              <w:autoSpaceDE w:val="0"/>
              <w:autoSpaceDN w:val="0"/>
              <w:adjustRightInd w:val="0"/>
              <w:rPr>
                <w:rStyle w:val="ng-binding"/>
                <w:bCs/>
                <w:szCs w:val="24"/>
              </w:rPr>
            </w:pPr>
            <w:r w:rsidRPr="009E38EB">
              <w:rPr>
                <w:bCs/>
                <w:szCs w:val="24"/>
              </w:rPr>
              <w:t xml:space="preserve">Электронный ручной </w:t>
            </w:r>
            <w:proofErr w:type="spellStart"/>
            <w:r w:rsidRPr="009E38EB">
              <w:rPr>
                <w:bCs/>
                <w:szCs w:val="24"/>
              </w:rPr>
              <w:t>видеоувеличитель</w:t>
            </w:r>
            <w:proofErr w:type="spellEnd"/>
          </w:p>
        </w:tc>
        <w:tc>
          <w:tcPr>
            <w:tcW w:w="1772" w:type="pct"/>
          </w:tcPr>
          <w:tbl>
            <w:tblPr>
              <w:tblW w:w="4976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274"/>
              <w:gridCol w:w="1739"/>
            </w:tblGrid>
            <w:tr w:rsidR="000579E5" w:rsidRPr="009E38EB" w14:paraId="33EA3EB4" w14:textId="77777777" w:rsidTr="00D90168">
              <w:trPr>
                <w:trHeight w:val="164"/>
              </w:trPr>
              <w:tc>
                <w:tcPr>
                  <w:tcW w:w="3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2A109C" w14:textId="77777777" w:rsidR="000579E5" w:rsidRPr="009E38EB" w:rsidRDefault="000579E5" w:rsidP="00D90168">
                  <w:pPr>
                    <w:keepLines/>
                    <w:widowControl w:val="0"/>
                    <w:autoSpaceDN w:val="0"/>
                    <w:adjustRightInd w:val="0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65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CC050B" w14:textId="77777777" w:rsidR="000579E5" w:rsidRPr="009E38EB" w:rsidRDefault="000579E5" w:rsidP="00D90168">
                  <w:pPr>
                    <w:keepLines/>
                    <w:widowControl w:val="0"/>
                    <w:autoSpaceDN w:val="0"/>
                    <w:adjustRightInd w:val="0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Значение характеристики</w:t>
                  </w:r>
                </w:p>
              </w:tc>
            </w:tr>
            <w:tr w:rsidR="000579E5" w:rsidRPr="009E38EB" w14:paraId="73262EB5" w14:textId="77777777" w:rsidTr="00D90168">
              <w:trPr>
                <w:trHeight w:val="146"/>
              </w:trPr>
              <w:tc>
                <w:tcPr>
                  <w:tcW w:w="3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7452B6" w14:textId="77777777" w:rsidR="000579E5" w:rsidRPr="009E38EB" w:rsidRDefault="000579E5" w:rsidP="00D90168">
                  <w:pPr>
                    <w:keepLines/>
                    <w:widowControl w:val="0"/>
                    <w:autoSpaceDN w:val="0"/>
                    <w:adjustRightInd w:val="0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Тип</w:t>
                  </w:r>
                </w:p>
              </w:tc>
              <w:tc>
                <w:tcPr>
                  <w:tcW w:w="1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5E95B" w14:textId="77777777" w:rsidR="000579E5" w:rsidRPr="009E38EB" w:rsidRDefault="000579E5" w:rsidP="00D90168">
                  <w:pPr>
                    <w:keepLines/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Ручной</w:t>
                  </w:r>
                </w:p>
              </w:tc>
            </w:tr>
            <w:tr w:rsidR="000579E5" w:rsidRPr="009E38EB" w14:paraId="4CF607A3" w14:textId="77777777" w:rsidTr="00D90168">
              <w:tc>
                <w:tcPr>
                  <w:tcW w:w="33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AD01D" w14:textId="77777777" w:rsidR="000579E5" w:rsidRPr="009E38EB" w:rsidRDefault="000579E5" w:rsidP="00D90168">
                  <w:pPr>
                    <w:keepLines/>
                    <w:widowControl w:val="0"/>
                    <w:autoSpaceDN w:val="0"/>
                    <w:adjustRightInd w:val="0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Максимальный уровень увеличения, крат</w:t>
                  </w:r>
                </w:p>
              </w:tc>
              <w:tc>
                <w:tcPr>
                  <w:tcW w:w="16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EB3D6" w14:textId="77777777" w:rsidR="000579E5" w:rsidRPr="009E38EB" w:rsidRDefault="000579E5" w:rsidP="00D90168">
                  <w:pPr>
                    <w:keepLines/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≥10</w:t>
                  </w:r>
                </w:p>
              </w:tc>
            </w:tr>
          </w:tbl>
          <w:p w14:paraId="158FCB77" w14:textId="77777777" w:rsidR="000579E5" w:rsidRPr="009E38EB" w:rsidRDefault="000579E5" w:rsidP="00D90168">
            <w:pPr>
              <w:keepLines/>
              <w:autoSpaceDN w:val="0"/>
              <w:adjustRightInd w:val="0"/>
              <w:ind w:firstLine="567"/>
              <w:jc w:val="both"/>
              <w:rPr>
                <w:szCs w:val="24"/>
              </w:rPr>
            </w:pPr>
          </w:p>
          <w:p w14:paraId="487D4023" w14:textId="77777777" w:rsidR="000579E5" w:rsidRPr="009E38EB" w:rsidRDefault="000579E5" w:rsidP="00D90168">
            <w:pPr>
              <w:keepLines/>
              <w:autoSpaceDN w:val="0"/>
              <w:adjustRightInd w:val="0"/>
              <w:jc w:val="center"/>
              <w:rPr>
                <w:b/>
                <w:szCs w:val="24"/>
              </w:rPr>
            </w:pPr>
            <w:r w:rsidRPr="009E38EB">
              <w:rPr>
                <w:b/>
                <w:szCs w:val="24"/>
              </w:rPr>
              <w:t>Дополнительные характеристики:</w:t>
            </w:r>
          </w:p>
          <w:tbl>
            <w:tblPr>
              <w:tblW w:w="5000" w:type="pct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4A0" w:firstRow="1" w:lastRow="0" w:firstColumn="1" w:lastColumn="0" w:noHBand="0" w:noVBand="1"/>
            </w:tblPr>
            <w:tblGrid>
              <w:gridCol w:w="3044"/>
              <w:gridCol w:w="1993"/>
            </w:tblGrid>
            <w:tr w:rsidR="000579E5" w:rsidRPr="009E38EB" w14:paraId="69B865A7" w14:textId="77777777" w:rsidTr="00D90168">
              <w:trPr>
                <w:trHeight w:val="28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2697E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5B408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Значение характеристики</w:t>
                  </w:r>
                </w:p>
              </w:tc>
            </w:tr>
            <w:tr w:rsidR="000579E5" w:rsidRPr="009E38EB" w14:paraId="782B4951" w14:textId="77777777" w:rsidTr="00D90168">
              <w:trPr>
                <w:trHeight w:val="388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0B432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proofErr w:type="gramStart"/>
                  <w:r w:rsidRPr="009E38EB">
                    <w:rPr>
                      <w:szCs w:val="24"/>
                    </w:rPr>
                    <w:t>Электронный</w:t>
                  </w:r>
                  <w:proofErr w:type="gramEnd"/>
                  <w:r w:rsidRPr="009E38EB">
                    <w:rPr>
                      <w:szCs w:val="24"/>
                    </w:rPr>
                    <w:t xml:space="preserve"> ручной </w:t>
                  </w:r>
                  <w:proofErr w:type="spellStart"/>
                  <w:r w:rsidRPr="009E38EB">
                    <w:rPr>
                      <w:szCs w:val="24"/>
                    </w:rPr>
                    <w:t>видеоувеличитель</w:t>
                  </w:r>
                  <w:proofErr w:type="spellEnd"/>
                  <w:r w:rsidRPr="009E38EB">
                    <w:rPr>
                      <w:szCs w:val="24"/>
                    </w:rPr>
                    <w:t xml:space="preserve"> со встроенным дисплеем (ЭРВУ) предназначен для чтения плоскопечатного текста и рассматривания удаленных объектов лицами с остротой зрения 0,03 – 0,1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ADDE06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Да</w:t>
                  </w:r>
                </w:p>
              </w:tc>
            </w:tr>
            <w:tr w:rsidR="000579E5" w:rsidRPr="009E38EB" w14:paraId="79B003E8" w14:textId="77777777" w:rsidTr="00D90168">
              <w:trPr>
                <w:trHeight w:val="592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A8B105" w14:textId="77777777" w:rsidR="000579E5" w:rsidRPr="009E38EB" w:rsidRDefault="000579E5" w:rsidP="00D90168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jc w:val="both"/>
                    <w:rPr>
                      <w:b/>
                      <w:bCs/>
                      <w:szCs w:val="24"/>
                    </w:rPr>
                  </w:pPr>
                  <w:r w:rsidRPr="009E38EB">
                    <w:rPr>
                      <w:szCs w:val="24"/>
                    </w:rPr>
                    <w:lastRenderedPageBreak/>
                    <w:t>Рассматривание удалённых объектов на расстоянии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9BEBBF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до 10 метров включительно</w:t>
                  </w:r>
                </w:p>
              </w:tc>
            </w:tr>
            <w:tr w:rsidR="000579E5" w:rsidRPr="009E38EB" w14:paraId="66B21EAC" w14:textId="77777777" w:rsidTr="00D90168">
              <w:trPr>
                <w:trHeight w:val="388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92CF7E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Наличие встроенного цветного высококонтрастного дисплея с размером по диагонали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2F0A7C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не менее 4,3 дюйма</w:t>
                  </w:r>
                </w:p>
              </w:tc>
            </w:tr>
            <w:tr w:rsidR="000579E5" w:rsidRPr="009E38EB" w14:paraId="62CB8D57" w14:textId="77777777" w:rsidTr="00D90168">
              <w:trPr>
                <w:trHeight w:val="96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F8E57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Регулировка увеличения изображения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1481FD" w14:textId="23F1B430" w:rsidR="000579E5" w:rsidRPr="009E38EB" w:rsidRDefault="00010CC8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в</w:t>
                  </w:r>
                  <w:bookmarkStart w:id="0" w:name="_GoBack"/>
                  <w:bookmarkEnd w:id="0"/>
                  <w:r w:rsidRPr="00010CC8">
                    <w:rPr>
                      <w:szCs w:val="24"/>
                    </w:rPr>
                    <w:t xml:space="preserve"> диапазоне не менее 7-14 крат</w:t>
                  </w:r>
                </w:p>
              </w:tc>
            </w:tr>
            <w:tr w:rsidR="000579E5" w:rsidRPr="009E38EB" w14:paraId="01C83AD6" w14:textId="77777777" w:rsidTr="00D90168">
              <w:trPr>
                <w:trHeight w:val="1007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A38EB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proofErr w:type="gramStart"/>
                  <w:r w:rsidRPr="009E38EB">
                    <w:rPr>
                      <w:szCs w:val="24"/>
                    </w:rPr>
                    <w:t>Наличие режимов отображения: полноцветный и черно-белый естественной контрастности, высококонтрастные режимы для чтения текста (черный на белом фоне, белый на черном, желтый на синем, желтый на черном, красный на белом, синий на белом, синий на желтом)</w:t>
                  </w:r>
                  <w:proofErr w:type="gramEnd"/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6661F1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не менее 9</w:t>
                  </w:r>
                </w:p>
              </w:tc>
            </w:tr>
            <w:tr w:rsidR="000579E5" w:rsidRPr="009E38EB" w14:paraId="421369FF" w14:textId="77777777" w:rsidTr="00D90168">
              <w:trPr>
                <w:trHeight w:val="73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5E6E0" w14:textId="77777777" w:rsidR="000579E5" w:rsidRPr="009E38EB" w:rsidRDefault="000579E5" w:rsidP="00D90168">
                  <w:pPr>
                    <w:spacing w:line="261" w:lineRule="exact"/>
                    <w:jc w:val="both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 xml:space="preserve">ЭРВУ обеспечивает во всех режимах высокое качество изображения без видимых цветовых, геометрических искажений и оптических помех по всему полю </w:t>
                  </w:r>
                  <w:proofErr w:type="gramStart"/>
                  <w:r w:rsidRPr="009E38EB">
                    <w:rPr>
                      <w:szCs w:val="24"/>
                    </w:rPr>
                    <w:t>дисплея</w:t>
                  </w:r>
                  <w:proofErr w:type="gramEnd"/>
                  <w:r w:rsidRPr="009E38EB">
                    <w:rPr>
                      <w:szCs w:val="24"/>
                    </w:rPr>
                    <w:t xml:space="preserve"> в том числе с цветных глянцевых поверхностей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F715FE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Да</w:t>
                  </w:r>
                </w:p>
              </w:tc>
            </w:tr>
            <w:tr w:rsidR="000579E5" w:rsidRPr="009E38EB" w14:paraId="3862219F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225E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Режим фиксации изображения на дисплее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15BF9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rStyle w:val="FontStyle17"/>
                      <w:szCs w:val="24"/>
                    </w:rPr>
                    <w:t>Да</w:t>
                  </w:r>
                </w:p>
              </w:tc>
            </w:tr>
            <w:tr w:rsidR="000579E5" w:rsidRPr="009E38EB" w14:paraId="644CBA02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09326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lastRenderedPageBreak/>
                    <w:t>Режим записи изображения в память на флэш-карту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09F019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Да</w:t>
                  </w:r>
                </w:p>
              </w:tc>
            </w:tr>
            <w:tr w:rsidR="000579E5" w:rsidRPr="009E38EB" w14:paraId="62D73002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8D124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Режим просмотра изображений, записанных на флэш-карте с функцией перемещения изображений в горизонтальном и вертикальном направлениях (скроллинг)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CC39EF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Да</w:t>
                  </w:r>
                </w:p>
              </w:tc>
            </w:tr>
            <w:tr w:rsidR="000579E5" w:rsidRPr="009E38EB" w14:paraId="26A5A90A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9A0AE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 xml:space="preserve">Режим преобразования плоскопечатного текста в речь при помощи синтезатора речи, соответствующего высшему классу качеству ГОСТ </w:t>
                  </w:r>
                  <w:proofErr w:type="gramStart"/>
                  <w:r w:rsidRPr="009E38EB">
                    <w:rPr>
                      <w:szCs w:val="24"/>
                    </w:rPr>
                    <w:t>Р</w:t>
                  </w:r>
                  <w:proofErr w:type="gramEnd"/>
                  <w:r w:rsidRPr="009E38EB">
                    <w:rPr>
                      <w:szCs w:val="24"/>
                    </w:rPr>
                    <w:t xml:space="preserve"> 50840-95 п. 8.4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618E4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Да</w:t>
                  </w:r>
                </w:p>
              </w:tc>
            </w:tr>
            <w:tr w:rsidR="000579E5" w:rsidRPr="009E38EB" w14:paraId="37A66DD1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529FAD" w14:textId="77777777" w:rsidR="000579E5" w:rsidRPr="009E38EB" w:rsidRDefault="000579E5" w:rsidP="00D90168">
                  <w:pPr>
                    <w:pStyle w:val="Style8"/>
                    <w:tabs>
                      <w:tab w:val="left" w:pos="796"/>
                    </w:tabs>
                    <w:spacing w:line="261" w:lineRule="exact"/>
                    <w:ind w:firstLine="0"/>
                    <w:rPr>
                      <w:rStyle w:val="FontStyle17"/>
                    </w:rPr>
                  </w:pPr>
                  <w:r w:rsidRPr="009E38EB">
                    <w:rPr>
                      <w:rFonts w:ascii="Times New Roman" w:hAnsi="Times New Roman"/>
                    </w:rPr>
                    <w:t>Режим записи и воспроизведения звукового комментария для каждого записанного изображения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48EC8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Да</w:t>
                  </w:r>
                </w:p>
              </w:tc>
            </w:tr>
            <w:tr w:rsidR="000579E5" w:rsidRPr="009E38EB" w14:paraId="6CE7BC79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FB8A1" w14:textId="77777777" w:rsidR="000579E5" w:rsidRPr="009E38EB" w:rsidRDefault="000579E5" w:rsidP="00D90168">
                  <w:pPr>
                    <w:pStyle w:val="Style8"/>
                    <w:tabs>
                      <w:tab w:val="left" w:pos="796"/>
                    </w:tabs>
                    <w:spacing w:line="261" w:lineRule="exact"/>
                    <w:ind w:firstLine="0"/>
                    <w:rPr>
                      <w:rStyle w:val="FontStyle17"/>
                    </w:rPr>
                  </w:pPr>
                  <w:r w:rsidRPr="009E38EB">
                    <w:rPr>
                      <w:rFonts w:ascii="Times New Roman" w:hAnsi="Times New Roman"/>
                    </w:rPr>
                    <w:t>Длительность каждого звукового комментария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AB9D3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не менее 30 сек</w:t>
                  </w:r>
                </w:p>
              </w:tc>
            </w:tr>
            <w:tr w:rsidR="000579E5" w:rsidRPr="009E38EB" w14:paraId="70BC775A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367295" w14:textId="77777777" w:rsidR="000579E5" w:rsidRPr="009E38EB" w:rsidRDefault="000579E5" w:rsidP="00D90168">
                  <w:pPr>
                    <w:widowControl w:val="0"/>
                    <w:tabs>
                      <w:tab w:val="left" w:pos="1395"/>
                    </w:tabs>
                    <w:autoSpaceDN w:val="0"/>
                    <w:adjustRightInd w:val="0"/>
                    <w:jc w:val="both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Режим настройки яркости изображения и громкости звуковых сигналов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D68515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Да</w:t>
                  </w:r>
                </w:p>
              </w:tc>
            </w:tr>
            <w:tr w:rsidR="000579E5" w:rsidRPr="009E38EB" w14:paraId="27E6DAD5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BBA4D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Режим автоматической фокусировки изображения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66C02A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t>Да</w:t>
                  </w:r>
                </w:p>
              </w:tc>
            </w:tr>
            <w:tr w:rsidR="000579E5" w:rsidRPr="009E38EB" w14:paraId="3C6F514F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5F378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 xml:space="preserve">Обновление внутреннего программного обеспечения аппарата производится в автономном режиме из </w:t>
                  </w:r>
                  <w:r w:rsidRPr="009E38EB">
                    <w:rPr>
                      <w:szCs w:val="24"/>
                    </w:rPr>
                    <w:lastRenderedPageBreak/>
                    <w:t>файлов, записанных на флэш-карте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3A377C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szCs w:val="24"/>
                    </w:rPr>
                  </w:pPr>
                  <w:r w:rsidRPr="009E38EB">
                    <w:rPr>
                      <w:szCs w:val="24"/>
                    </w:rPr>
                    <w:lastRenderedPageBreak/>
                    <w:t>Да</w:t>
                  </w:r>
                </w:p>
              </w:tc>
            </w:tr>
            <w:tr w:rsidR="000579E5" w:rsidRPr="009E38EB" w14:paraId="3F65E287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8F258F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lastRenderedPageBreak/>
                    <w:t>Включение, выключение, а также переключение режимов работы подтверждается звуковыми сигналами и речевыми сообщениями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09AF8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rStyle w:val="FontStyle17"/>
                      <w:szCs w:val="24"/>
                    </w:rPr>
                    <w:t>Да</w:t>
                  </w:r>
                </w:p>
              </w:tc>
            </w:tr>
            <w:tr w:rsidR="000579E5" w:rsidRPr="009E38EB" w14:paraId="4D159CC0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B024FE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 xml:space="preserve">Флэш-карта в рабочем состоянии выступает за пределы корпуса 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7F6D7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на расстояние 1- 2 мм</w:t>
                  </w:r>
                </w:p>
              </w:tc>
            </w:tr>
            <w:tr w:rsidR="000579E5" w:rsidRPr="009E38EB" w14:paraId="560D3E78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2B5B53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Все органы управления ЭРВУ по цвету и тактильным обозначениям отличаются друг от друга, тактильные обозначения выпуклые, четко различимые и контрастные по цвету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B565F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rStyle w:val="FontStyle17"/>
                      <w:szCs w:val="24"/>
                    </w:rPr>
                    <w:t>Да</w:t>
                  </w:r>
                </w:p>
              </w:tc>
            </w:tr>
            <w:tr w:rsidR="000579E5" w:rsidRPr="009E38EB" w14:paraId="6978B626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27821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Питание от сети переменного тока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77177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при помощи сетевого адаптера и от встроенного аккумулятора или батареи</w:t>
                  </w:r>
                </w:p>
              </w:tc>
            </w:tr>
            <w:tr w:rsidR="000579E5" w:rsidRPr="009E38EB" w14:paraId="0EC037F0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F0BA6D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Время непрерывной работы от встроенного аккумулятора или батареи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2CD3A4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не менее 2-х часов</w:t>
                  </w:r>
                </w:p>
              </w:tc>
            </w:tr>
            <w:tr w:rsidR="000579E5" w:rsidRPr="009E38EB" w14:paraId="11A523B2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2EA150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Наличие светодиодного индикатора заряда батареи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EF83EE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rStyle w:val="FontStyle17"/>
                      <w:szCs w:val="24"/>
                    </w:rPr>
                    <w:t>Да</w:t>
                  </w:r>
                </w:p>
              </w:tc>
            </w:tr>
            <w:tr w:rsidR="000579E5" w:rsidRPr="009E38EB" w14:paraId="399502D1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71C2A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 xml:space="preserve">Наличие разъемов: для подключения сетевого </w:t>
                  </w:r>
                  <w:r w:rsidRPr="009E38EB">
                    <w:rPr>
                      <w:szCs w:val="24"/>
                    </w:rPr>
                    <w:lastRenderedPageBreak/>
                    <w:t>адаптера, выход на наушники и внешнюю акустическую систему, слот для флэш-карты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E02916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rStyle w:val="FontStyle17"/>
                      <w:szCs w:val="24"/>
                    </w:rPr>
                    <w:lastRenderedPageBreak/>
                    <w:t>Да</w:t>
                  </w:r>
                </w:p>
              </w:tc>
            </w:tr>
            <w:tr w:rsidR="000579E5" w:rsidRPr="009E38EB" w14:paraId="6F365410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9CCE4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lastRenderedPageBreak/>
                    <w:t>Габаритные размеры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60CD0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не более 150 х 95 х 40 (мм)</w:t>
                  </w:r>
                </w:p>
              </w:tc>
            </w:tr>
            <w:tr w:rsidR="000579E5" w:rsidRPr="009E38EB" w14:paraId="4F2AD685" w14:textId="77777777" w:rsidTr="00D90168">
              <w:trPr>
                <w:trHeight w:val="28"/>
              </w:trPr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43D51D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Вес (без сетевого адаптера)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37135" w14:textId="77777777" w:rsidR="000579E5" w:rsidRPr="009E38EB" w:rsidRDefault="000579E5" w:rsidP="00D90168">
                  <w:pPr>
                    <w:widowControl w:val="0"/>
                    <w:shd w:val="clear" w:color="auto" w:fill="FFFFFF"/>
                    <w:tabs>
                      <w:tab w:val="left" w:pos="0"/>
                    </w:tabs>
                    <w:autoSpaceDE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>не более 300 грамм</w:t>
                  </w:r>
                </w:p>
              </w:tc>
            </w:tr>
            <w:tr w:rsidR="000579E5" w:rsidRPr="009E38EB" w14:paraId="515B9FCF" w14:textId="77777777" w:rsidTr="00D90168">
              <w:tc>
                <w:tcPr>
                  <w:tcW w:w="3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74851B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both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rStyle w:val="FontStyle17"/>
                      <w:szCs w:val="24"/>
                    </w:rPr>
                    <w:t>Комплект поставки</w:t>
                  </w:r>
                </w:p>
              </w:tc>
              <w:tc>
                <w:tcPr>
                  <w:tcW w:w="1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34003" w14:textId="77777777" w:rsidR="000579E5" w:rsidRPr="009E38EB" w:rsidRDefault="000579E5" w:rsidP="00D90168">
                  <w:pPr>
                    <w:widowControl w:val="0"/>
                    <w:autoSpaceDN w:val="0"/>
                    <w:adjustRightInd w:val="0"/>
                    <w:jc w:val="center"/>
                    <w:rPr>
                      <w:rStyle w:val="FontStyle17"/>
                      <w:szCs w:val="24"/>
                    </w:rPr>
                  </w:pPr>
                  <w:r w:rsidRPr="009E38EB">
                    <w:rPr>
                      <w:szCs w:val="24"/>
                    </w:rPr>
                    <w:t xml:space="preserve">электронный ручной </w:t>
                  </w:r>
                  <w:proofErr w:type="spellStart"/>
                  <w:r w:rsidRPr="009E38EB">
                    <w:rPr>
                      <w:szCs w:val="24"/>
                    </w:rPr>
                    <w:t>видеоувеличитель</w:t>
                  </w:r>
                  <w:proofErr w:type="spellEnd"/>
                  <w:r w:rsidRPr="009E38EB">
                    <w:rPr>
                      <w:szCs w:val="24"/>
                    </w:rPr>
                    <w:t xml:space="preserve"> со встроенным дисплеем; плоскопечатное (крупным шрифтом) и звуковое (на флэш-карте) руководство по эксплуатации; флэш-карта не менее 2 </w:t>
                  </w:r>
                  <w:proofErr w:type="spellStart"/>
                  <w:r w:rsidRPr="009E38EB">
                    <w:rPr>
                      <w:szCs w:val="24"/>
                    </w:rPr>
                    <w:t>Gb</w:t>
                  </w:r>
                  <w:proofErr w:type="spellEnd"/>
                  <w:r w:rsidRPr="009E38EB">
                    <w:rPr>
                      <w:szCs w:val="24"/>
                    </w:rPr>
                    <w:t>; головной телефон (наушники); сетевой адаптер; сумка с ремнем для переноски; упаковочная коробка</w:t>
                  </w:r>
                </w:p>
              </w:tc>
            </w:tr>
          </w:tbl>
          <w:p w14:paraId="430EB78B" w14:textId="77777777" w:rsidR="000579E5" w:rsidRPr="009E38EB" w:rsidRDefault="000579E5" w:rsidP="00D90168">
            <w:pPr>
              <w:pStyle w:val="afff8"/>
              <w:ind w:firstLine="3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14:paraId="26A42631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lastRenderedPageBreak/>
              <w:t>150</w:t>
            </w:r>
          </w:p>
        </w:tc>
        <w:tc>
          <w:tcPr>
            <w:tcW w:w="220" w:type="pct"/>
          </w:tcPr>
          <w:p w14:paraId="0259DF5A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t>шт.</w:t>
            </w:r>
          </w:p>
        </w:tc>
        <w:tc>
          <w:tcPr>
            <w:tcW w:w="396" w:type="pct"/>
          </w:tcPr>
          <w:p w14:paraId="4CDA1FFD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t>36 500,00</w:t>
            </w:r>
          </w:p>
        </w:tc>
        <w:tc>
          <w:tcPr>
            <w:tcW w:w="504" w:type="pct"/>
          </w:tcPr>
          <w:p w14:paraId="670A11C4" w14:textId="77777777" w:rsidR="000579E5" w:rsidRPr="009E38EB" w:rsidRDefault="000579E5" w:rsidP="00D90168">
            <w:pPr>
              <w:keepLines/>
              <w:jc w:val="center"/>
              <w:rPr>
                <w:szCs w:val="24"/>
              </w:rPr>
            </w:pPr>
            <w:r w:rsidRPr="009E38EB">
              <w:rPr>
                <w:szCs w:val="24"/>
              </w:rPr>
              <w:t>5 475 000,00</w:t>
            </w:r>
          </w:p>
        </w:tc>
      </w:tr>
      <w:tr w:rsidR="000579E5" w:rsidRPr="009E38EB" w14:paraId="39BAB659" w14:textId="77777777" w:rsidTr="000579E5">
        <w:tc>
          <w:tcPr>
            <w:tcW w:w="3623" w:type="pct"/>
            <w:gridSpan w:val="4"/>
          </w:tcPr>
          <w:p w14:paraId="42D0DFD9" w14:textId="77777777" w:rsidR="000579E5" w:rsidRPr="009E38EB" w:rsidRDefault="000579E5" w:rsidP="00D90168">
            <w:pPr>
              <w:keepLines/>
              <w:jc w:val="both"/>
              <w:rPr>
                <w:b/>
                <w:szCs w:val="24"/>
              </w:rPr>
            </w:pPr>
            <w:r w:rsidRPr="009E38EB">
              <w:rPr>
                <w:b/>
                <w:szCs w:val="24"/>
              </w:rPr>
              <w:lastRenderedPageBreak/>
              <w:t>ИТОГО:</w:t>
            </w:r>
          </w:p>
        </w:tc>
        <w:tc>
          <w:tcPr>
            <w:tcW w:w="257" w:type="pct"/>
          </w:tcPr>
          <w:p w14:paraId="62286797" w14:textId="77777777" w:rsidR="000579E5" w:rsidRPr="009E38EB" w:rsidRDefault="000579E5" w:rsidP="00D90168">
            <w:pPr>
              <w:keepLines/>
              <w:jc w:val="center"/>
              <w:rPr>
                <w:b/>
                <w:szCs w:val="24"/>
              </w:rPr>
            </w:pPr>
            <w:r w:rsidRPr="009E38EB">
              <w:rPr>
                <w:b/>
                <w:szCs w:val="24"/>
              </w:rPr>
              <w:t>150</w:t>
            </w:r>
          </w:p>
        </w:tc>
        <w:tc>
          <w:tcPr>
            <w:tcW w:w="220" w:type="pct"/>
          </w:tcPr>
          <w:p w14:paraId="431AEAF1" w14:textId="77777777" w:rsidR="000579E5" w:rsidRPr="009E38EB" w:rsidRDefault="000579E5" w:rsidP="00D90168">
            <w:pPr>
              <w:keepLines/>
              <w:jc w:val="center"/>
              <w:rPr>
                <w:b/>
                <w:szCs w:val="24"/>
              </w:rPr>
            </w:pPr>
          </w:p>
        </w:tc>
        <w:tc>
          <w:tcPr>
            <w:tcW w:w="396" w:type="pct"/>
          </w:tcPr>
          <w:p w14:paraId="7AB3E648" w14:textId="77777777" w:rsidR="000579E5" w:rsidRPr="009E38EB" w:rsidRDefault="000579E5" w:rsidP="00D90168">
            <w:pPr>
              <w:keepLines/>
              <w:jc w:val="center"/>
              <w:rPr>
                <w:b/>
                <w:szCs w:val="24"/>
              </w:rPr>
            </w:pPr>
          </w:p>
        </w:tc>
        <w:tc>
          <w:tcPr>
            <w:tcW w:w="504" w:type="pct"/>
          </w:tcPr>
          <w:p w14:paraId="629643FA" w14:textId="77777777" w:rsidR="000579E5" w:rsidRPr="009E38EB" w:rsidRDefault="000579E5" w:rsidP="00D90168">
            <w:pPr>
              <w:keepLines/>
              <w:jc w:val="center"/>
              <w:rPr>
                <w:b/>
                <w:szCs w:val="24"/>
              </w:rPr>
            </w:pPr>
            <w:r w:rsidRPr="009E38EB">
              <w:rPr>
                <w:b/>
                <w:szCs w:val="24"/>
              </w:rPr>
              <w:t>5 475 000,00</w:t>
            </w:r>
          </w:p>
        </w:tc>
      </w:tr>
    </w:tbl>
    <w:p w14:paraId="492A0823" w14:textId="77777777" w:rsidR="000579E5" w:rsidRPr="009E38EB" w:rsidRDefault="000579E5" w:rsidP="000579E5">
      <w:pPr>
        <w:suppressAutoHyphens/>
        <w:ind w:firstLine="567"/>
        <w:jc w:val="both"/>
        <w:rPr>
          <w:b/>
          <w:szCs w:val="24"/>
        </w:rPr>
      </w:pPr>
      <w:r w:rsidRPr="009E38EB">
        <w:rPr>
          <w:szCs w:val="24"/>
        </w:rPr>
        <w:t>Дополнительные характеристики введены в соответствии с правилами описания объекта закупки в соответствии со ст. 33 закона № 44-ФЗ от 05.04.2013г. «О контрактной системе в сфере закупок товаров, работ, услуг для обеспечения государственных и муниципальных нужд» и обусловлены потребностью Заказчика.</w:t>
      </w:r>
    </w:p>
    <w:p w14:paraId="6C86F1A4" w14:textId="77777777" w:rsidR="000579E5" w:rsidRPr="009E38EB" w:rsidRDefault="000579E5" w:rsidP="000579E5">
      <w:pPr>
        <w:suppressAutoHyphens/>
        <w:ind w:firstLine="567"/>
        <w:jc w:val="both"/>
        <w:rPr>
          <w:b/>
          <w:szCs w:val="24"/>
        </w:rPr>
      </w:pPr>
    </w:p>
    <w:p w14:paraId="0FF112FF" w14:textId="77777777" w:rsidR="000579E5" w:rsidRPr="009E38EB" w:rsidRDefault="000579E5" w:rsidP="000579E5">
      <w:pPr>
        <w:suppressAutoHyphens/>
        <w:ind w:firstLine="567"/>
        <w:jc w:val="both"/>
        <w:rPr>
          <w:b/>
          <w:szCs w:val="24"/>
        </w:rPr>
      </w:pPr>
      <w:r w:rsidRPr="009E38EB">
        <w:rPr>
          <w:b/>
          <w:szCs w:val="24"/>
        </w:rPr>
        <w:lastRenderedPageBreak/>
        <w:t xml:space="preserve">Требования к качеству и </w:t>
      </w:r>
      <w:r w:rsidRPr="009E38EB">
        <w:rPr>
          <w:b/>
          <w:bCs/>
          <w:szCs w:val="24"/>
        </w:rPr>
        <w:t>безопасности товара</w:t>
      </w:r>
      <w:r w:rsidRPr="009E38EB">
        <w:rPr>
          <w:b/>
          <w:szCs w:val="24"/>
        </w:rPr>
        <w:t>.</w:t>
      </w:r>
    </w:p>
    <w:p w14:paraId="2E728233" w14:textId="77777777" w:rsidR="000579E5" w:rsidRPr="009E38EB" w:rsidRDefault="000579E5" w:rsidP="000579E5">
      <w:pPr>
        <w:pStyle w:val="afff8"/>
        <w:ind w:firstLine="567"/>
        <w:jc w:val="both"/>
        <w:rPr>
          <w:rFonts w:ascii="Times New Roman" w:hAnsi="Times New Roman"/>
          <w:sz w:val="24"/>
          <w:szCs w:val="24"/>
        </w:rPr>
      </w:pPr>
      <w:r w:rsidRPr="009E38EB">
        <w:rPr>
          <w:rFonts w:ascii="Times New Roman" w:hAnsi="Times New Roman"/>
          <w:sz w:val="24"/>
          <w:szCs w:val="24"/>
        </w:rPr>
        <w:t xml:space="preserve">Требования к безопасности товара: Специальные устройства для оптической коррекции слабовидения (электронно-оптические) должны отвечать требованиям ГОСТ </w:t>
      </w:r>
      <w:proofErr w:type="gramStart"/>
      <w:r w:rsidRPr="009E38EB">
        <w:rPr>
          <w:rFonts w:ascii="Times New Roman" w:hAnsi="Times New Roman"/>
          <w:sz w:val="24"/>
          <w:szCs w:val="24"/>
        </w:rPr>
        <w:t>Р</w:t>
      </w:r>
      <w:proofErr w:type="gramEnd"/>
      <w:r w:rsidRPr="009E38EB">
        <w:rPr>
          <w:rFonts w:ascii="Times New Roman" w:hAnsi="Times New Roman"/>
          <w:sz w:val="24"/>
          <w:szCs w:val="24"/>
        </w:rPr>
        <w:t xml:space="preserve"> 51075-2017. Национальный стандарт Российской Федерации. «Аппаратура телевизионная увеличивающая реабилитационная. Общие технические условия», ГОСТ </w:t>
      </w:r>
      <w:proofErr w:type="gramStart"/>
      <w:r w:rsidRPr="009E38EB">
        <w:rPr>
          <w:rFonts w:ascii="Times New Roman" w:hAnsi="Times New Roman"/>
          <w:sz w:val="24"/>
          <w:szCs w:val="24"/>
        </w:rPr>
        <w:t>Р</w:t>
      </w:r>
      <w:proofErr w:type="gramEnd"/>
      <w:r w:rsidRPr="009E38EB">
        <w:rPr>
          <w:rFonts w:ascii="Times New Roman" w:hAnsi="Times New Roman"/>
          <w:sz w:val="24"/>
          <w:szCs w:val="24"/>
        </w:rPr>
        <w:t xml:space="preserve"> 51264-99 Государственный стандарт Российской Федерации. «Средства связи, информатики и сигнализации реабилитационные электронные. Общие технические условия», ГОСТ </w:t>
      </w:r>
      <w:proofErr w:type="gramStart"/>
      <w:r w:rsidRPr="009E38EB">
        <w:rPr>
          <w:rFonts w:ascii="Times New Roman" w:hAnsi="Times New Roman"/>
          <w:sz w:val="24"/>
          <w:szCs w:val="24"/>
        </w:rPr>
        <w:t>Р</w:t>
      </w:r>
      <w:proofErr w:type="gramEnd"/>
      <w:r w:rsidRPr="009E38EB">
        <w:rPr>
          <w:rFonts w:ascii="Times New Roman" w:hAnsi="Times New Roman"/>
          <w:sz w:val="24"/>
          <w:szCs w:val="24"/>
        </w:rPr>
        <w:t xml:space="preserve"> 51632-2021 Национальный стандарт Российской Федерации. «Технические средства реабилитации людей с ограничениями жизнедеятельности. Общие технические требования и методы испытаний», а также требованиям государственных стандартов на однородные группы технических средств реабилитации, санитарно-эпидемиологическим требованиям действующих санитарных правил. </w:t>
      </w:r>
    </w:p>
    <w:p w14:paraId="79F9B5E4" w14:textId="77777777" w:rsidR="000579E5" w:rsidRPr="009E38EB" w:rsidRDefault="000579E5" w:rsidP="000579E5">
      <w:pPr>
        <w:suppressAutoHyphens/>
        <w:ind w:firstLine="567"/>
        <w:jc w:val="both"/>
        <w:rPr>
          <w:b/>
          <w:szCs w:val="24"/>
        </w:rPr>
      </w:pPr>
    </w:p>
    <w:p w14:paraId="7BC3E416" w14:textId="77777777" w:rsidR="000579E5" w:rsidRPr="009E38EB" w:rsidRDefault="000579E5" w:rsidP="000579E5">
      <w:pPr>
        <w:suppressAutoHyphens/>
        <w:ind w:firstLine="567"/>
        <w:jc w:val="both"/>
        <w:rPr>
          <w:b/>
          <w:szCs w:val="24"/>
        </w:rPr>
      </w:pPr>
      <w:r w:rsidRPr="009E38EB">
        <w:rPr>
          <w:b/>
          <w:szCs w:val="24"/>
        </w:rPr>
        <w:t>Требования к размерам, упаковке, отгрузке товара.</w:t>
      </w:r>
    </w:p>
    <w:p w14:paraId="25120E5D" w14:textId="77777777" w:rsidR="000579E5" w:rsidRPr="009E38EB" w:rsidRDefault="000579E5" w:rsidP="000579E5">
      <w:pPr>
        <w:suppressAutoHyphens/>
        <w:ind w:firstLine="567"/>
        <w:jc w:val="both"/>
        <w:rPr>
          <w:szCs w:val="24"/>
        </w:rPr>
      </w:pPr>
      <w:r w:rsidRPr="009E38EB">
        <w:rPr>
          <w:szCs w:val="24"/>
        </w:rPr>
        <w:t>Упаковка, маркировка, транспортирование и хранение устройств должны осуществляться с соблюдением требований Государственного стандарта союза ССР ГОСТ 28594-90 «Аппаратура радиоэлектронная бытовая. Упаковка, маркировка, транспортирование и хранение» (</w:t>
      </w:r>
      <w:proofErr w:type="spellStart"/>
      <w:r w:rsidRPr="009E38EB">
        <w:rPr>
          <w:szCs w:val="24"/>
        </w:rPr>
        <w:t>п.п</w:t>
      </w:r>
      <w:proofErr w:type="spellEnd"/>
      <w:r w:rsidRPr="009E38EB">
        <w:rPr>
          <w:szCs w:val="24"/>
        </w:rPr>
        <w:t>. 1.1., 1.2., 1.4., 1.5., 1.19., 2.5., 3.3.).</w:t>
      </w:r>
    </w:p>
    <w:p w14:paraId="40BDCEB1" w14:textId="77777777" w:rsidR="000579E5" w:rsidRPr="009E38EB" w:rsidRDefault="000579E5" w:rsidP="000579E5">
      <w:pPr>
        <w:suppressAutoHyphens/>
        <w:ind w:firstLine="567"/>
        <w:jc w:val="both"/>
        <w:rPr>
          <w:szCs w:val="24"/>
        </w:rPr>
      </w:pPr>
      <w:r w:rsidRPr="009E38EB">
        <w:rPr>
          <w:szCs w:val="24"/>
        </w:rPr>
        <w:t>Упаковка должна обеспечивать защиту от воздействия механических и климатических факторов во время транспортирования и хранения технических средств реабилитации, а также наиболее полное использование грузоподъемности (вместимости) транспортных средств и удобство выполнения погрузочно-разгрузочных работ.</w:t>
      </w:r>
    </w:p>
    <w:p w14:paraId="4CAF2C06" w14:textId="77777777" w:rsidR="000579E5" w:rsidRPr="009E38EB" w:rsidRDefault="000579E5" w:rsidP="000579E5">
      <w:pPr>
        <w:suppressAutoHyphens/>
        <w:ind w:firstLine="567"/>
        <w:jc w:val="both"/>
        <w:rPr>
          <w:szCs w:val="24"/>
        </w:rPr>
      </w:pPr>
      <w:proofErr w:type="gramStart"/>
      <w:r w:rsidRPr="009E38EB">
        <w:rPr>
          <w:szCs w:val="24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свойства).</w:t>
      </w:r>
      <w:proofErr w:type="gramEnd"/>
    </w:p>
    <w:p w14:paraId="7738C635" w14:textId="77777777" w:rsidR="000579E5" w:rsidRPr="009E38EB" w:rsidRDefault="000579E5" w:rsidP="000579E5">
      <w:pPr>
        <w:ind w:firstLine="567"/>
        <w:jc w:val="both"/>
        <w:rPr>
          <w:b/>
          <w:szCs w:val="24"/>
        </w:rPr>
      </w:pPr>
      <w:r w:rsidRPr="009E38EB">
        <w:rPr>
          <w:b/>
          <w:szCs w:val="24"/>
        </w:rPr>
        <w:t>Место доставки товара, выполнения работ, оказания услуг</w:t>
      </w:r>
    </w:p>
    <w:p w14:paraId="5818CBE6" w14:textId="77777777" w:rsidR="000579E5" w:rsidRPr="009E38EB" w:rsidRDefault="000579E5" w:rsidP="000579E5">
      <w:pPr>
        <w:ind w:firstLine="567"/>
        <w:jc w:val="both"/>
        <w:rPr>
          <w:szCs w:val="24"/>
        </w:rPr>
      </w:pPr>
      <w:r w:rsidRPr="009E38EB">
        <w:rPr>
          <w:szCs w:val="24"/>
        </w:rPr>
        <w:t>Краснодарский край:</w:t>
      </w:r>
    </w:p>
    <w:p w14:paraId="4A531F14" w14:textId="77777777" w:rsidR="000579E5" w:rsidRPr="009E38EB" w:rsidRDefault="000579E5" w:rsidP="000579E5">
      <w:pPr>
        <w:ind w:firstLine="567"/>
        <w:jc w:val="both"/>
        <w:rPr>
          <w:szCs w:val="24"/>
        </w:rPr>
      </w:pPr>
      <w:r w:rsidRPr="009E38EB">
        <w:rPr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71DC2B03" w14:textId="77777777" w:rsidR="000579E5" w:rsidRPr="009E38EB" w:rsidRDefault="000579E5" w:rsidP="000579E5">
      <w:pPr>
        <w:ind w:firstLine="567"/>
        <w:jc w:val="both"/>
        <w:rPr>
          <w:szCs w:val="24"/>
        </w:rPr>
      </w:pPr>
      <w:proofErr w:type="gramStart"/>
      <w:r w:rsidRPr="009E38EB">
        <w:rPr>
          <w:szCs w:val="24"/>
        </w:rPr>
        <w:t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</w:t>
      </w:r>
      <w:proofErr w:type="gramEnd"/>
    </w:p>
    <w:p w14:paraId="266B0FBF" w14:textId="77777777" w:rsidR="000579E5" w:rsidRPr="009E38EB" w:rsidRDefault="000579E5" w:rsidP="000579E5">
      <w:pPr>
        <w:ind w:firstLine="567"/>
        <w:jc w:val="both"/>
        <w:rPr>
          <w:b/>
          <w:bCs/>
          <w:szCs w:val="24"/>
        </w:rPr>
      </w:pPr>
      <w:r w:rsidRPr="009E38EB">
        <w:rPr>
          <w:b/>
          <w:bCs/>
          <w:szCs w:val="24"/>
        </w:rPr>
        <w:t>Сроки поставки товара или завершения работ, либо график оказания услуг:</w:t>
      </w:r>
    </w:p>
    <w:p w14:paraId="7447DD63" w14:textId="77777777" w:rsidR="000579E5" w:rsidRPr="009E38EB" w:rsidRDefault="000579E5" w:rsidP="000579E5">
      <w:pPr>
        <w:tabs>
          <w:tab w:val="left" w:pos="709"/>
        </w:tabs>
        <w:ind w:firstLine="567"/>
        <w:jc w:val="both"/>
        <w:rPr>
          <w:szCs w:val="24"/>
        </w:rPr>
      </w:pPr>
      <w:r w:rsidRPr="009E38EB">
        <w:rPr>
          <w:szCs w:val="24"/>
        </w:rPr>
        <w:t xml:space="preserve"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 </w:t>
      </w:r>
    </w:p>
    <w:p w14:paraId="0405185A" w14:textId="77777777" w:rsidR="000579E5" w:rsidRPr="009E38EB" w:rsidRDefault="000579E5" w:rsidP="000579E5">
      <w:pPr>
        <w:tabs>
          <w:tab w:val="left" w:pos="709"/>
        </w:tabs>
        <w:ind w:firstLine="567"/>
        <w:jc w:val="both"/>
        <w:rPr>
          <w:bCs/>
          <w:szCs w:val="24"/>
        </w:rPr>
      </w:pPr>
      <w:r w:rsidRPr="009E38EB">
        <w:rPr>
          <w:bCs/>
          <w:szCs w:val="24"/>
        </w:rPr>
        <w:t>До 15.01.2024 г.</w:t>
      </w:r>
      <w:r w:rsidRPr="009E38EB">
        <w:rPr>
          <w:szCs w:val="24"/>
        </w:rPr>
        <w:t xml:space="preserve"> предоставить на склад Поставщика, расположенный на территории Краснодарского края, 100% от общего количества Товара (для возможности Заказчику провести выборочную приемку товара).</w:t>
      </w:r>
    </w:p>
    <w:p w14:paraId="5283F210" w14:textId="77777777" w:rsidR="000579E5" w:rsidRPr="009E38EB" w:rsidRDefault="000579E5" w:rsidP="000579E5">
      <w:pPr>
        <w:tabs>
          <w:tab w:val="left" w:pos="567"/>
          <w:tab w:val="left" w:pos="709"/>
        </w:tabs>
        <w:ind w:firstLine="567"/>
        <w:jc w:val="both"/>
        <w:rPr>
          <w:b/>
          <w:szCs w:val="24"/>
        </w:rPr>
      </w:pPr>
      <w:r w:rsidRPr="009E38EB">
        <w:rPr>
          <w:b/>
          <w:szCs w:val="24"/>
        </w:rPr>
        <w:t>Требования к гарантийному сроку товаров, выполнения работ, оказания услуг и (или) объему предоставления гарантий их качества, к гарантийному обслуживанию товаров, к расходам на эксплуатацию товаров и др.:</w:t>
      </w:r>
    </w:p>
    <w:p w14:paraId="2AEA2096" w14:textId="77777777" w:rsidR="000579E5" w:rsidRPr="009E38EB" w:rsidRDefault="000579E5" w:rsidP="000579E5">
      <w:pPr>
        <w:tabs>
          <w:tab w:val="left" w:pos="426"/>
        </w:tabs>
        <w:suppressAutoHyphens/>
        <w:ind w:firstLine="567"/>
        <w:jc w:val="both"/>
        <w:rPr>
          <w:szCs w:val="24"/>
        </w:rPr>
      </w:pPr>
      <w:r w:rsidRPr="009E38EB">
        <w:rPr>
          <w:szCs w:val="24"/>
        </w:rPr>
        <w:t xml:space="preserve">Гарантийный срок должен составлять не менее 12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Обязательно наличие гарантийных талонов, </w:t>
      </w:r>
      <w:r w:rsidRPr="009E38EB">
        <w:rPr>
          <w:szCs w:val="24"/>
        </w:rPr>
        <w:lastRenderedPageBreak/>
        <w:t xml:space="preserve">дающих право на бесплатный ремонт или замену Товара во время гарантийного срока пользования. Срок выполнения гарантийного ремонта или замены не должен превышать 15 рабочих дней со дня обращения Получателя. </w:t>
      </w:r>
    </w:p>
    <w:p w14:paraId="72F0ECFC" w14:textId="77777777" w:rsidR="000579E5" w:rsidRPr="009E38EB" w:rsidRDefault="000579E5" w:rsidP="000579E5">
      <w:pPr>
        <w:tabs>
          <w:tab w:val="left" w:pos="426"/>
        </w:tabs>
        <w:suppressAutoHyphens/>
        <w:ind w:firstLine="567"/>
        <w:jc w:val="both"/>
        <w:rPr>
          <w:szCs w:val="24"/>
        </w:rPr>
      </w:pPr>
      <w:r w:rsidRPr="009E38EB">
        <w:rPr>
          <w:rFonts w:eastAsia="Calibri"/>
          <w:szCs w:val="24"/>
          <w:lang w:eastAsia="en-US"/>
        </w:rPr>
        <w:t>До 15.01.2024 г. поставщик должен предоставить Заказчику адреса специализированных мастерских</w:t>
      </w:r>
      <w:r w:rsidRPr="009E38EB">
        <w:rPr>
          <w:szCs w:val="24"/>
        </w:rPr>
        <w:t>, в которые следует обращаться для гарантийного ремонта Товара или устранения неисправностей. В случае отсутствия специализированных мастерских (сервисных служб) на территории Краснодарского края Поставщик обязан в течение гарантийного ремонта своими силами осуществить приемку Товара у Получателя для гарантийного ремонта и возврат Товара по месту жительства Получателя Товара. Обеспечение возможности ремонта, устранения недостатков при обеспечении Получателей Товаром осуществляется в соответствии с Федеральным законом от 07.02.1992 № 2300-1 «О защите прав потребителей».</w:t>
      </w:r>
    </w:p>
    <w:p w14:paraId="5B001993" w14:textId="1FC07F3A" w:rsidR="005E5EAB" w:rsidRPr="00F935B8" w:rsidRDefault="000579E5" w:rsidP="000579E5">
      <w:pPr>
        <w:widowControl w:val="0"/>
        <w:ind w:firstLine="567"/>
        <w:jc w:val="both"/>
        <w:rPr>
          <w:b/>
          <w:szCs w:val="24"/>
        </w:rPr>
      </w:pPr>
      <w:r w:rsidRPr="009E38EB">
        <w:rPr>
          <w:szCs w:val="24"/>
        </w:rPr>
        <w:t xml:space="preserve">В соответствии с приказом Минтруда России от 05.03.2021 № 107н «Об утверждении Сроков пользования техническими средствами реабилитации, протезами и протезно-ортопедическим изделиями» срок пользования техническими средствами реабилитации, протезом и протезно-ортопедическим изделием (далее - ТСР) исчисляется </w:t>
      </w:r>
      <w:proofErr w:type="gramStart"/>
      <w:r w:rsidRPr="009E38EB">
        <w:rPr>
          <w:szCs w:val="24"/>
        </w:rPr>
        <w:t>с даты предоставления</w:t>
      </w:r>
      <w:proofErr w:type="gramEnd"/>
      <w:r w:rsidRPr="009E38EB">
        <w:rPr>
          <w:szCs w:val="24"/>
        </w:rPr>
        <w:t xml:space="preserve"> его инвалиду. В случае если сроки службы, установленные изготовителем ТСР, превышают сроки пользования ТСР, утвержденные приказом Минтруда России, замена таких ТСР будет осуществляться региональным отделением по истечении сроков службы, установленных изготовителем ТСР.</w:t>
      </w:r>
    </w:p>
    <w:sectPr w:rsidR="005E5EAB" w:rsidRPr="00F935B8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36DD9B54" w14:textId="77777777" w:rsidR="000579E5" w:rsidRDefault="000579E5" w:rsidP="000579E5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6E9CB563" w14:textId="77777777" w:rsidR="000579E5" w:rsidRDefault="000579E5" w:rsidP="000579E5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10CC8"/>
    <w:rsid w:val="00027E1A"/>
    <w:rsid w:val="0005153E"/>
    <w:rsid w:val="000579E5"/>
    <w:rsid w:val="00084A35"/>
    <w:rsid w:val="0009531E"/>
    <w:rsid w:val="000E7E2B"/>
    <w:rsid w:val="000F20C4"/>
    <w:rsid w:val="000F43FB"/>
    <w:rsid w:val="0013772F"/>
    <w:rsid w:val="00194410"/>
    <w:rsid w:val="001967B7"/>
    <w:rsid w:val="001B422E"/>
    <w:rsid w:val="001C02FA"/>
    <w:rsid w:val="001C54FA"/>
    <w:rsid w:val="00202B0D"/>
    <w:rsid w:val="00224785"/>
    <w:rsid w:val="00225261"/>
    <w:rsid w:val="00230E03"/>
    <w:rsid w:val="002454A4"/>
    <w:rsid w:val="0024676B"/>
    <w:rsid w:val="00262F2D"/>
    <w:rsid w:val="00292D62"/>
    <w:rsid w:val="002D7B85"/>
    <w:rsid w:val="002E1EDD"/>
    <w:rsid w:val="002F2C66"/>
    <w:rsid w:val="0032718C"/>
    <w:rsid w:val="0032740B"/>
    <w:rsid w:val="00353467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24297"/>
    <w:rsid w:val="00627C14"/>
    <w:rsid w:val="00690E40"/>
    <w:rsid w:val="00693A56"/>
    <w:rsid w:val="00696F3D"/>
    <w:rsid w:val="006978FC"/>
    <w:rsid w:val="006B7795"/>
    <w:rsid w:val="006C17CD"/>
    <w:rsid w:val="006E6C80"/>
    <w:rsid w:val="00754F59"/>
    <w:rsid w:val="00786AE2"/>
    <w:rsid w:val="007B52CF"/>
    <w:rsid w:val="007B62A2"/>
    <w:rsid w:val="007C1661"/>
    <w:rsid w:val="007C5358"/>
    <w:rsid w:val="007E084A"/>
    <w:rsid w:val="00815D38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25E32"/>
    <w:rsid w:val="00A367F1"/>
    <w:rsid w:val="00A41014"/>
    <w:rsid w:val="00A464C9"/>
    <w:rsid w:val="00AE4A66"/>
    <w:rsid w:val="00B27775"/>
    <w:rsid w:val="00B27C95"/>
    <w:rsid w:val="00B3008E"/>
    <w:rsid w:val="00B32DE4"/>
    <w:rsid w:val="00B849FF"/>
    <w:rsid w:val="00B91503"/>
    <w:rsid w:val="00BD0741"/>
    <w:rsid w:val="00BD26F7"/>
    <w:rsid w:val="00BD790A"/>
    <w:rsid w:val="00BF1B6F"/>
    <w:rsid w:val="00BF7B4A"/>
    <w:rsid w:val="00C131AD"/>
    <w:rsid w:val="00C135FC"/>
    <w:rsid w:val="00C67BED"/>
    <w:rsid w:val="00CA2E18"/>
    <w:rsid w:val="00CE0D8D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F5110"/>
    <w:rsid w:val="00DF5688"/>
    <w:rsid w:val="00E05835"/>
    <w:rsid w:val="00E06F0E"/>
    <w:rsid w:val="00E43D1E"/>
    <w:rsid w:val="00E462E9"/>
    <w:rsid w:val="00E812D9"/>
    <w:rsid w:val="00E91DED"/>
    <w:rsid w:val="00EE756A"/>
    <w:rsid w:val="00EF4A5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uiPriority w:val="1"/>
    <w:qFormat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uiPriority w:val="1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0579E5"/>
    <w:pPr>
      <w:widowControl w:val="0"/>
      <w:autoSpaceDE w:val="0"/>
      <w:autoSpaceDN w:val="0"/>
      <w:adjustRightInd w:val="0"/>
      <w:spacing w:line="275" w:lineRule="exact"/>
      <w:ind w:hanging="333"/>
    </w:pPr>
    <w:rPr>
      <w:rFonts w:ascii="Calibri" w:hAnsi="Calibri"/>
      <w:color w:val="auto"/>
      <w:szCs w:val="24"/>
    </w:rPr>
  </w:style>
  <w:style w:type="character" w:customStyle="1" w:styleId="FontStyle17">
    <w:name w:val="Font Style17"/>
    <w:uiPriority w:val="99"/>
    <w:rsid w:val="000579E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2210-160F-4052-B444-C014DD2E0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8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Кизилова Татьяна Анатольевна</cp:lastModifiedBy>
  <cp:revision>144</cp:revision>
  <dcterms:created xsi:type="dcterms:W3CDTF">2021-12-29T15:28:00Z</dcterms:created>
  <dcterms:modified xsi:type="dcterms:W3CDTF">2023-10-26T10:19:00Z</dcterms:modified>
</cp:coreProperties>
</file>