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9A" w:rsidRDefault="0036759A" w:rsidP="0036759A">
      <w:pPr>
        <w:tabs>
          <w:tab w:val="left" w:pos="6600"/>
        </w:tabs>
        <w:autoSpaceDN w:val="0"/>
        <w:spacing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Техническое задание</w:t>
      </w:r>
    </w:p>
    <w:p w:rsidR="0036759A" w:rsidRDefault="0036759A" w:rsidP="0036759A">
      <w:pPr>
        <w:tabs>
          <w:tab w:val="left" w:pos="6600"/>
        </w:tabs>
        <w:autoSpaceDN w:val="0"/>
        <w:spacing w:line="240" w:lineRule="auto"/>
        <w:jc w:val="center"/>
        <w:rPr>
          <w:bCs/>
          <w:kern w:val="3"/>
          <w:lang w:eastAsia="ru-RU"/>
        </w:rPr>
      </w:pPr>
      <w:r>
        <w:rPr>
          <w:b/>
          <w:bCs/>
          <w:lang w:eastAsia="zh-CN"/>
        </w:rPr>
        <w:t xml:space="preserve"> на выполнение </w:t>
      </w:r>
      <w:r w:rsidRPr="008B6925">
        <w:rPr>
          <w:b/>
          <w:bCs/>
          <w:lang w:eastAsia="zh-CN"/>
        </w:rPr>
        <w:t>работ для обеспечения инвалидов и отдельных категорий граждан из числа ветеранов протезами бедра модульными, в том числе при врожденном недоразвитии</w:t>
      </w:r>
      <w:r>
        <w:rPr>
          <w:bCs/>
          <w:kern w:val="3"/>
          <w:lang w:eastAsia="ru-RU"/>
        </w:rPr>
        <w:t>.</w:t>
      </w:r>
    </w:p>
    <w:tbl>
      <w:tblPr>
        <w:tblW w:w="15168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261"/>
        <w:gridCol w:w="9355"/>
        <w:gridCol w:w="851"/>
      </w:tblGrid>
      <w:tr w:rsidR="0036759A" w:rsidRPr="008B6925" w:rsidTr="00E4046B">
        <w:trPr>
          <w:trHeight w:val="1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59A" w:rsidRPr="008B6925" w:rsidRDefault="0036759A" w:rsidP="00E4046B">
            <w:pPr>
              <w:tabs>
                <w:tab w:val="left" w:pos="6600"/>
              </w:tabs>
              <w:suppressAutoHyphens w:val="0"/>
              <w:spacing w:line="240" w:lineRule="auto"/>
              <w:contextualSpacing/>
              <w:jc w:val="center"/>
              <w:textAlignment w:val="auto"/>
              <w:rPr>
                <w:bCs/>
                <w:kern w:val="0"/>
                <w:sz w:val="20"/>
                <w:szCs w:val="20"/>
                <w:lang w:eastAsia="en-US"/>
              </w:rPr>
            </w:pPr>
            <w:r w:rsidRPr="008B6925">
              <w:rPr>
                <w:bCs/>
                <w:kern w:val="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59A" w:rsidRPr="008B6925" w:rsidRDefault="0036759A" w:rsidP="00E4046B">
            <w:pPr>
              <w:tabs>
                <w:tab w:val="left" w:pos="6600"/>
              </w:tabs>
              <w:suppressAutoHyphens w:val="0"/>
              <w:spacing w:line="240" w:lineRule="auto"/>
              <w:contextualSpacing/>
              <w:jc w:val="center"/>
              <w:textAlignment w:val="auto"/>
              <w:rPr>
                <w:bCs/>
                <w:kern w:val="0"/>
                <w:sz w:val="20"/>
                <w:szCs w:val="20"/>
                <w:lang w:eastAsia="en-US"/>
              </w:rPr>
            </w:pPr>
            <w:r w:rsidRPr="008B6925">
              <w:rPr>
                <w:bCs/>
                <w:i/>
                <w:kern w:val="0"/>
                <w:sz w:val="20"/>
                <w:szCs w:val="20"/>
                <w:lang w:eastAsia="en-US"/>
              </w:rPr>
              <w:t>Объект закупки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</w:tcBorders>
            <w:vAlign w:val="center"/>
          </w:tcPr>
          <w:p w:rsidR="0036759A" w:rsidRPr="008B6925" w:rsidRDefault="0036759A" w:rsidP="00E4046B">
            <w:pPr>
              <w:suppressAutoHyphens w:val="0"/>
              <w:spacing w:line="240" w:lineRule="auto"/>
              <w:jc w:val="center"/>
              <w:textAlignment w:val="auto"/>
              <w:rPr>
                <w:i/>
                <w:kern w:val="0"/>
                <w:sz w:val="20"/>
                <w:szCs w:val="20"/>
                <w:lang w:eastAsia="en-US"/>
              </w:rPr>
            </w:pPr>
            <w:r w:rsidRPr="008B6925">
              <w:rPr>
                <w:bCs/>
                <w:i/>
                <w:kern w:val="0"/>
                <w:sz w:val="20"/>
                <w:szCs w:val="20"/>
                <w:lang w:eastAsia="en-US"/>
              </w:rPr>
              <w:t>Функциональные, технические, качественные характеристики, эксплуатационные характеристики работы (в случае отсутствия соответствующих позиций в КТРУ)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59A" w:rsidRPr="008B6925" w:rsidRDefault="0036759A" w:rsidP="00E4046B">
            <w:pPr>
              <w:tabs>
                <w:tab w:val="left" w:pos="6600"/>
              </w:tabs>
              <w:suppressAutoHyphens w:val="0"/>
              <w:spacing w:line="240" w:lineRule="auto"/>
              <w:contextualSpacing/>
              <w:jc w:val="center"/>
              <w:textAlignment w:val="auto"/>
              <w:rPr>
                <w:bCs/>
                <w:i/>
                <w:kern w:val="0"/>
                <w:sz w:val="20"/>
                <w:szCs w:val="20"/>
                <w:lang w:eastAsia="en-US"/>
              </w:rPr>
            </w:pPr>
            <w:r w:rsidRPr="008B6925">
              <w:rPr>
                <w:bCs/>
                <w:i/>
                <w:kern w:val="0"/>
                <w:sz w:val="20"/>
                <w:szCs w:val="20"/>
                <w:lang w:eastAsia="en-US"/>
              </w:rPr>
              <w:t>Кол-во (шт.)</w:t>
            </w:r>
          </w:p>
        </w:tc>
      </w:tr>
      <w:tr w:rsidR="0036759A" w:rsidRPr="008B6925" w:rsidTr="00E404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59A" w:rsidRPr="008B6925" w:rsidRDefault="0036759A" w:rsidP="00E4046B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8B6925">
              <w:rPr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59A" w:rsidRPr="008B6925" w:rsidRDefault="0036759A" w:rsidP="00E4046B">
            <w:pPr>
              <w:tabs>
                <w:tab w:val="left" w:pos="6600"/>
              </w:tabs>
              <w:contextualSpacing/>
              <w:jc w:val="center"/>
              <w:rPr>
                <w:rFonts w:eastAsia="Andale Sans UI"/>
                <w:sz w:val="20"/>
                <w:szCs w:val="20"/>
                <w:lang w:eastAsia="fa-IR" w:bidi="fa-IR"/>
              </w:rPr>
            </w:pPr>
            <w:r w:rsidRPr="008B6925">
              <w:rPr>
                <w:rFonts w:eastAsia="Andale Sans UI"/>
                <w:sz w:val="20"/>
                <w:szCs w:val="20"/>
                <w:lang w:eastAsia="fa-IR" w:bidi="fa-IR"/>
              </w:rPr>
              <w:t>8-07-10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8B6925">
              <w:rPr>
                <w:rFonts w:eastAsia="Andale Sans UI"/>
                <w:sz w:val="20"/>
                <w:szCs w:val="20"/>
                <w:lang w:eastAsia="fa-IR" w:bidi="fa-IR"/>
              </w:rPr>
              <w:t>Выполнение работ для обеспечения инвалидов и отдельных категорий граждан из числа ветеранов протезами бедра модульными, в том числе при врожденном недоразвитии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9A" w:rsidRPr="008B6925" w:rsidRDefault="0036759A" w:rsidP="00E4046B">
            <w:pPr>
              <w:shd w:val="clear" w:color="auto" w:fill="FFFFFF"/>
              <w:suppressAutoHyphens w:val="0"/>
              <w:spacing w:line="240" w:lineRule="auto"/>
              <w:ind w:right="131"/>
              <w:contextualSpacing/>
              <w:jc w:val="both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8B6925">
              <w:rPr>
                <w:rFonts w:eastAsia="Calibri"/>
                <w:bCs/>
                <w:kern w:val="0"/>
                <w:sz w:val="20"/>
                <w:szCs w:val="20"/>
                <w:lang w:eastAsia="en-US"/>
              </w:rPr>
              <w:t xml:space="preserve">Протез бедра модульный. Формообразующая часть косметической облицовки - модульная мягкая полиуретановая. Косметическое покрытие облицовки - чулки ортопедические перлоновые или силоновые, допускается покрытие защитное плёночное. Чехол из полимерного материала. Приёмная гильза индивидуальная (две пробные гильзы). Материал индивидуальной постоянной гильзы: литьевой слоистый пластик на основе акриловых смол или листовой термопластичный пластик. Крепление с использованием вакуума или замка. Регулировочно-соединительные устройства должны соответствовать весу инвалида. Стопа с высоким уровнем энергосбережения каркасного типа с раздвоенным карбоновым килем переднего отдела стопы для обеспечения высокого уровня инверсии/эверсии и карбоновой пяткой. Полицентрический коленный модуль с гидравлической регулировкой фазы опоры и фазы переноса, с гидроцилиндром, обеспечивающим регулировку устойчивости и возможность </w:t>
            </w:r>
            <w:r w:rsidRPr="008B6925">
              <w:rPr>
                <w:rFonts w:eastAsia="Calibri"/>
                <w:bCs/>
                <w:kern w:val="0"/>
                <w:sz w:val="20"/>
                <w:szCs w:val="20"/>
                <w:lang w:eastAsia="en-US"/>
              </w:rPr>
              <w:lastRenderedPageBreak/>
              <w:t>блокировки колена на сгибание - функция замка, позволяет ходьбу вниз по лестнице попеременным шагом, угол сгибания 160 градусов, на нагрузку до 150 кг. Модуль снабжен велосипедным переключателем. Влагозащитное исполнение. Протез снабжен поворотным адаптером. Тип протеза: постоянный.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center"/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  <w:lastRenderedPageBreak/>
              <w:t>Требования к техническим и функциональным характеристикам работ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В соответствии п. 1,2 ГОСТ Р 51819-2022 выполняемые работы по обеспечению инвалидов и отдельных категорий граждан из числа ветеранов </w:t>
            </w:r>
            <w:r w:rsidRPr="008B6925">
              <w:rPr>
                <w:rFonts w:eastAsia="Arial Unicode MS"/>
                <w:i/>
                <w:kern w:val="3"/>
                <w:sz w:val="19"/>
                <w:szCs w:val="19"/>
                <w:lang w:eastAsia="ru-RU"/>
              </w:rPr>
              <w:t>протезами бедра</w:t>
            </w: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 должны содержать 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и нижних конечностей пациентов с помощью протезов конечностей, в целях восстановления или компенсации ограничений их жизнедеятельности.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В соответствии п. 41 ГОСТ Р 51819-2022 приемная гильза протеза конечности должна изготавливаться по индивидуальному параметру инвалида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В соответствии п. 44 ГОСТ Р 51819-2022 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В соответствии с п.5.2.1 ГОСТ Р 53870-2021 работы должны включать в себя: 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оформление карты протезирования, заказа;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изготовление изделия для примерки;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примерку приемной гильзы;</w:t>
            </w:r>
            <w:bookmarkStart w:id="0" w:name="_GoBack"/>
            <w:bookmarkEnd w:id="0"/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предварительную сборку протеза;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примерку, установку, подгонку узлов, креплений;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окончательную сборку и отделку протеза;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- обучение пользованию протезом, уходу за изделием и культей (недоразвитой конечностью) и выдачу готового изделия. 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center"/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  <w:t>Требования к материалам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В соответствии с разделом 9 ГОСТ Р 53869-2021 «Протезы нижних конечностей. Технические требования»: 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Материалы, применяемые при изготовлении протеза, должны соответствовать требованиям ГОСТ Р ИСО 22523, пункт 5.1.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Материалы, из которых изготовлены приемные гильзы протезов и/или вкладные элементы, имеющие прямой и/или опосредованный контакт с кожей пользователя, должны удовлетворять требованиям биологической безопасности ГОСТ Р 52770, ГОСТ ISO 10993-1, ГОСТ ISO 10993-5, ГОСТ ISO 10993-10, ГОСТ ISO 10993-12 в части предъявляемых требований и характеристик.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- Термопластичные материалы приемных гильз протеза должны обеспечивать термическую и механическую подгонку (подформовку).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 w:firstLine="131"/>
              <w:jc w:val="both"/>
              <w:rPr>
                <w:rFonts w:eastAsia="Arial"/>
                <w:color w:val="000000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- Материалы приемных гильз должны обеспечивать установку заклепочных </w:t>
            </w:r>
            <w:r w:rsidRPr="008B6925">
              <w:rPr>
                <w:rFonts w:eastAsia="Arial"/>
                <w:color w:val="000000"/>
                <w:kern w:val="3"/>
                <w:sz w:val="19"/>
                <w:szCs w:val="19"/>
                <w:lang w:eastAsia="ru-RU"/>
              </w:rPr>
              <w:t>соединений без образования растрескиваний и разрывов.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color w:val="000000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color w:val="000000"/>
                <w:kern w:val="3"/>
                <w:sz w:val="19"/>
                <w:szCs w:val="19"/>
                <w:lang w:eastAsia="ru-RU"/>
              </w:rPr>
              <w:t>- Материалы приемных гильз не должны деформироваться в процессе эксплуатации протеза.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center"/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  <w:t>Требования к результатам работ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lastRenderedPageBreak/>
              <w:t xml:space="preserve">Работы по обеспечению инвалидов и отдельных категорий граждан из числа ветеранов </w:t>
            </w:r>
            <w:r w:rsidRPr="008B6925">
              <w:rPr>
                <w:rFonts w:eastAsia="Arial Unicode MS"/>
                <w:i/>
                <w:kern w:val="3"/>
                <w:sz w:val="19"/>
                <w:szCs w:val="19"/>
                <w:lang w:eastAsia="ru-RU"/>
              </w:rPr>
              <w:t>протезами бедра</w:t>
            </w: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 следует считать эффективно исполненными, если у инвалидов и отдельных категорий граждан из числа ветеранов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и отдельных категорий граждан из числа ветеранов </w:t>
            </w:r>
            <w:r w:rsidRPr="008B6925">
              <w:rPr>
                <w:rFonts w:eastAsia="Arial Unicode MS"/>
                <w:i/>
                <w:kern w:val="3"/>
                <w:sz w:val="19"/>
                <w:szCs w:val="19"/>
                <w:lang w:eastAsia="ru-RU"/>
              </w:rPr>
              <w:t>протезами бедра</w:t>
            </w: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 должны быть выполнены с надлежащим качеством и в установленные сроки.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center"/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  <w:t>Требования к срокам и (или) объему предоставления гарантии качества работ</w:t>
            </w:r>
          </w:p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Гарантийный срок на протезы устанавливается со дня выдачи готового изделия в эксплуатацию и должен составлять не менее 7 месяцев. В течение этого срока Исполнитель производит замену или ремонт изделия бесплатно.</w:t>
            </w:r>
          </w:p>
          <w:p w:rsidR="0036759A" w:rsidRPr="008B6925" w:rsidRDefault="0036759A" w:rsidP="00E4046B">
            <w:pPr>
              <w:widowControl w:val="0"/>
              <w:autoSpaceDN w:val="0"/>
              <w:spacing w:line="240" w:lineRule="auto"/>
              <w:ind w:right="131"/>
              <w:jc w:val="center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b/>
                <w:kern w:val="3"/>
                <w:sz w:val="19"/>
                <w:szCs w:val="19"/>
                <w:lang w:eastAsia="ru-RU"/>
              </w:rPr>
              <w:t>Требования к месту, условиям и срокам (периодам) выполнения работ.</w:t>
            </w:r>
          </w:p>
          <w:p w:rsidR="0036759A" w:rsidRPr="008B6925" w:rsidRDefault="0036759A" w:rsidP="00E4046B">
            <w:pPr>
              <w:widowControl w:val="0"/>
              <w:autoSpaceDN w:val="0"/>
              <w:spacing w:line="240" w:lineRule="auto"/>
              <w:ind w:right="131"/>
              <w:jc w:val="both"/>
              <w:rPr>
                <w:rFonts w:eastAsia="Arial"/>
                <w:kern w:val="3"/>
                <w:sz w:val="19"/>
                <w:szCs w:val="19"/>
                <w:lang w:eastAsia="ru-RU"/>
              </w:rPr>
            </w:pP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Выполнение работ для обеспечения инвалидов и отдельных категорий граждан из числа ветеранов </w:t>
            </w:r>
            <w:r w:rsidRPr="008B6925">
              <w:rPr>
                <w:rFonts w:eastAsia="Arial Unicode MS"/>
                <w:i/>
                <w:kern w:val="3"/>
                <w:sz w:val="19"/>
                <w:szCs w:val="19"/>
                <w:lang w:eastAsia="ru-RU"/>
              </w:rPr>
              <w:t xml:space="preserve">протезами </w:t>
            </w:r>
            <w:r w:rsidRPr="008B6925">
              <w:rPr>
                <w:rFonts w:eastAsia="Calibri"/>
                <w:i/>
                <w:kern w:val="0"/>
                <w:sz w:val="19"/>
                <w:szCs w:val="19"/>
                <w:lang w:eastAsia="en-US"/>
              </w:rPr>
              <w:t>бедра</w:t>
            </w: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 xml:space="preserve"> производится до «15» декабря 2023 года. Срок выполнения Работ со дня получения списков или обращения инвалида (ветерана) к Исполнителю по направлению Заказчика – не более 45 дней. Место выполнения работ для обеспечения инвалидов и отдельных </w:t>
            </w:r>
            <w:r w:rsidRPr="008B6925">
              <w:rPr>
                <w:rFonts w:eastAsia="Arial"/>
                <w:color w:val="000000"/>
                <w:kern w:val="3"/>
                <w:sz w:val="19"/>
                <w:szCs w:val="19"/>
                <w:lang w:eastAsia="ru-RU"/>
              </w:rPr>
              <w:t xml:space="preserve">категорий граждан из числа ветеранов протезами – Российская Федерация. Обмеры (примерки) и выдача Результата работ, требующие присутствие Получателя, производятся в Ивановской области, место выполнения иных работ определяется Исполнителем самостоятельно. </w:t>
            </w:r>
            <w:r w:rsidRPr="008B6925">
              <w:rPr>
                <w:rFonts w:eastAsia="Arial"/>
                <w:kern w:val="3"/>
                <w:sz w:val="19"/>
                <w:szCs w:val="19"/>
                <w:lang w:eastAsia="ru-RU"/>
              </w:rPr>
              <w:t>Изготовление по индивидуальным слепкам. Доставка готового изделия при необходимости по месту жительства инвалида.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ind w:right="131"/>
              <w:jc w:val="center"/>
              <w:textAlignment w:val="auto"/>
              <w:rPr>
                <w:rFonts w:eastAsia="Andale Sans UI"/>
                <w:b/>
                <w:sz w:val="19"/>
                <w:szCs w:val="19"/>
                <w:lang w:eastAsia="fa-IR" w:bidi="fa-IR"/>
              </w:rPr>
            </w:pPr>
            <w:r w:rsidRPr="008B6925">
              <w:rPr>
                <w:rFonts w:eastAsia="Andale Sans UI"/>
                <w:b/>
                <w:sz w:val="19"/>
                <w:szCs w:val="19"/>
                <w:lang w:eastAsia="fa-IR" w:bidi="fa-IR"/>
              </w:rPr>
              <w:t>Требования к пункту выдачи Товара.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ind w:right="131"/>
              <w:jc w:val="both"/>
              <w:textAlignment w:val="auto"/>
              <w:rPr>
                <w:rFonts w:eastAsia="Andale Sans UI"/>
                <w:sz w:val="19"/>
                <w:szCs w:val="19"/>
                <w:lang w:eastAsia="fa-IR" w:bidi="fa-IR"/>
              </w:rPr>
            </w:pPr>
            <w:r w:rsidRPr="008B6925">
              <w:rPr>
                <w:rFonts w:eastAsia="Andale Sans UI"/>
                <w:sz w:val="19"/>
                <w:szCs w:val="19"/>
                <w:lang w:eastAsia="fa-IR" w:bidi="fa-IR"/>
              </w:rPr>
              <w:t>Пункт выдачи должен быть организован в г. Иваново на расстоянии шаговой доступности от остановки общественного транспорта в соответствии с п. 11.24. СП 42.13330.2016 «Градостроительство. Планировка и застройка городских и сельских поселений».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ind w:right="131"/>
              <w:jc w:val="both"/>
              <w:textAlignment w:val="auto"/>
              <w:rPr>
                <w:rFonts w:eastAsia="Andale Sans UI"/>
                <w:sz w:val="19"/>
                <w:szCs w:val="19"/>
                <w:lang w:eastAsia="fa-IR" w:bidi="fa-IR"/>
              </w:rPr>
            </w:pPr>
            <w:r w:rsidRPr="008B6925">
              <w:rPr>
                <w:rFonts w:eastAsia="Andale Sans UI"/>
                <w:sz w:val="19"/>
                <w:szCs w:val="19"/>
                <w:lang w:eastAsia="fa-IR" w:bidi="fa-IR"/>
              </w:rPr>
              <w:t xml:space="preserve">Пункт выдачи должен иметь отдельный вход с улицы, зону ожидания Получателей, с мебелью для ожидания в сидячем положении. 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ind w:right="131"/>
              <w:jc w:val="both"/>
              <w:textAlignment w:val="auto"/>
              <w:rPr>
                <w:rFonts w:eastAsia="Andale Sans UI"/>
                <w:sz w:val="19"/>
                <w:szCs w:val="19"/>
                <w:lang w:eastAsia="fa-IR" w:bidi="fa-IR"/>
              </w:rPr>
            </w:pPr>
            <w:r w:rsidRPr="008B6925">
              <w:rPr>
                <w:rFonts w:eastAsia="Andale Sans UI"/>
                <w:sz w:val="19"/>
                <w:szCs w:val="19"/>
                <w:lang w:eastAsia="fa-IR" w:bidi="fa-IR"/>
              </w:rPr>
              <w:t>Пункт выдачи должен быть оборудован пандусами или иными приспособлениями для облегчения передвижения инвалидов, расширенными дверными проемами, обеспечивающими свободный доступ Получателей на колясках, (СП 59.13330.2020 «Доступность зданий и сооружений для маломобильных групп населения»), а также оснащен дополнительными информационными указателями (табло, стенды) и др. В целях безопасности участки пола на путях движения человека с инвалидностью должны быть оснащены тактильно-контрастными предупреждающими указателями.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ind w:right="131"/>
              <w:jc w:val="both"/>
              <w:textAlignment w:val="auto"/>
              <w:rPr>
                <w:rFonts w:eastAsia="Andale Sans UI"/>
                <w:sz w:val="19"/>
                <w:szCs w:val="19"/>
                <w:lang w:eastAsia="fa-IR" w:bidi="fa-IR"/>
              </w:rPr>
            </w:pPr>
            <w:r w:rsidRPr="008B6925">
              <w:rPr>
                <w:rFonts w:eastAsia="Andale Sans UI"/>
                <w:sz w:val="19"/>
                <w:szCs w:val="19"/>
                <w:lang w:eastAsia="fa-IR" w:bidi="fa-IR"/>
              </w:rPr>
              <w:t>Пункт выдачи должен быть оборудован камерами видеофиксации, которые будут вести видеозапись приема-передачи товара Получателям, а также телефонными аппаратами для консультации Получателей ТСР.</w:t>
            </w:r>
          </w:p>
          <w:p w:rsidR="0036759A" w:rsidRPr="008B6925" w:rsidRDefault="0036759A" w:rsidP="00E4046B">
            <w:pPr>
              <w:suppressAutoHyphens w:val="0"/>
              <w:spacing w:line="240" w:lineRule="auto"/>
              <w:ind w:right="131"/>
              <w:jc w:val="both"/>
              <w:textAlignment w:val="auto"/>
              <w:rPr>
                <w:rFonts w:eastAsia="Andale Sans UI"/>
                <w:sz w:val="19"/>
                <w:szCs w:val="19"/>
                <w:lang w:eastAsia="fa-IR" w:bidi="fa-IR"/>
              </w:rPr>
            </w:pPr>
            <w:r w:rsidRPr="008B6925">
              <w:rPr>
                <w:rFonts w:eastAsia="Andale Sans UI"/>
                <w:sz w:val="19"/>
                <w:szCs w:val="19"/>
                <w:lang w:eastAsia="fa-IR" w:bidi="fa-IR"/>
              </w:rPr>
              <w:t xml:space="preserve">Вход в пункт выдачи должен быть обозначен надписью (например, «Пункт выдачи ТСР для инвалидов»), позволяющей однозначно определить место нахождения указанного пункта. </w:t>
            </w:r>
          </w:p>
          <w:p w:rsidR="0036759A" w:rsidRPr="008B6925" w:rsidRDefault="0036759A" w:rsidP="00E4046B">
            <w:pPr>
              <w:shd w:val="clear" w:color="auto" w:fill="FFFFFF"/>
              <w:suppressAutoHyphens w:val="0"/>
              <w:autoSpaceDE w:val="0"/>
              <w:spacing w:line="240" w:lineRule="auto"/>
              <w:ind w:right="131"/>
              <w:jc w:val="both"/>
              <w:textAlignment w:val="auto"/>
              <w:rPr>
                <w:rFonts w:eastAsia="Arial"/>
                <w:b/>
                <w:kern w:val="0"/>
                <w:sz w:val="20"/>
                <w:szCs w:val="20"/>
                <w:lang w:eastAsia="en-US"/>
              </w:rPr>
            </w:pPr>
            <w:r w:rsidRPr="008B6925">
              <w:rPr>
                <w:rFonts w:eastAsia="Andale Sans UI"/>
                <w:sz w:val="19"/>
                <w:szCs w:val="19"/>
                <w:lang w:eastAsia="fa-IR" w:bidi="fa-IR"/>
              </w:rPr>
              <w:t>Пункт выдачи должен иметь туалетную комнату, оборудованную для посещения инвалидами, в том числе инвалидами-колясочниками, со свободным и бесплатным доступом Получателей.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9A" w:rsidRPr="008B6925" w:rsidRDefault="0036759A" w:rsidP="00E4046B">
            <w:pPr>
              <w:suppressAutoHyphens w:val="0"/>
              <w:spacing w:line="240" w:lineRule="auto"/>
              <w:contextualSpacing/>
              <w:jc w:val="center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8B6925">
              <w:rPr>
                <w:kern w:val="0"/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36759A" w:rsidRPr="008B6925" w:rsidTr="00E4046B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59A" w:rsidRPr="008B6925" w:rsidRDefault="0036759A" w:rsidP="00E4046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131"/>
              <w:jc w:val="right"/>
              <w:rPr>
                <w:rFonts w:eastAsia="Arial"/>
                <w:kern w:val="3"/>
                <w:sz w:val="20"/>
                <w:szCs w:val="20"/>
                <w:lang w:eastAsia="ru-RU"/>
              </w:rPr>
            </w:pPr>
            <w:r w:rsidRPr="008B6925">
              <w:rPr>
                <w:rFonts w:eastAsia="Arial"/>
                <w:kern w:val="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9A" w:rsidRPr="008B6925" w:rsidRDefault="0036759A" w:rsidP="00E4046B">
            <w:pPr>
              <w:suppressAutoHyphens w:val="0"/>
              <w:spacing w:line="240" w:lineRule="auto"/>
              <w:contextualSpacing/>
              <w:jc w:val="center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8B6925">
              <w:rPr>
                <w:kern w:val="0"/>
                <w:sz w:val="20"/>
                <w:szCs w:val="20"/>
                <w:lang w:eastAsia="en-US"/>
              </w:rPr>
              <w:t>2</w:t>
            </w:r>
          </w:p>
        </w:tc>
      </w:tr>
    </w:tbl>
    <w:p w:rsidR="0036759A" w:rsidRDefault="0036759A" w:rsidP="0036759A">
      <w:pPr>
        <w:shd w:val="clear" w:color="auto" w:fill="FFFFFF"/>
        <w:jc w:val="right"/>
        <w:rPr>
          <w:b/>
        </w:rPr>
      </w:pPr>
    </w:p>
    <w:p w:rsidR="0036759A" w:rsidRDefault="0036759A" w:rsidP="0036759A">
      <w:pPr>
        <w:shd w:val="clear" w:color="auto" w:fill="FFFFFF"/>
        <w:jc w:val="right"/>
        <w:rPr>
          <w:b/>
        </w:rPr>
      </w:pPr>
    </w:p>
    <w:p w:rsidR="002719B2" w:rsidRDefault="002719B2"/>
    <w:sectPr w:rsidR="002719B2" w:rsidSect="0036759A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9A" w:rsidRDefault="0036759A" w:rsidP="0036759A">
      <w:pPr>
        <w:spacing w:line="240" w:lineRule="auto"/>
      </w:pPr>
      <w:r>
        <w:separator/>
      </w:r>
    </w:p>
  </w:endnote>
  <w:endnote w:type="continuationSeparator" w:id="0">
    <w:p w:rsidR="0036759A" w:rsidRDefault="0036759A" w:rsidP="00367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339803"/>
      <w:docPartObj>
        <w:docPartGallery w:val="Page Numbers (Bottom of Page)"/>
        <w:docPartUnique/>
      </w:docPartObj>
    </w:sdtPr>
    <w:sdtContent>
      <w:p w:rsidR="0036759A" w:rsidRDefault="00367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759A" w:rsidRDefault="00367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9A" w:rsidRDefault="0036759A" w:rsidP="0036759A">
      <w:pPr>
        <w:spacing w:line="240" w:lineRule="auto"/>
      </w:pPr>
      <w:r>
        <w:separator/>
      </w:r>
    </w:p>
  </w:footnote>
  <w:footnote w:type="continuationSeparator" w:id="0">
    <w:p w:rsidR="0036759A" w:rsidRDefault="0036759A" w:rsidP="003675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9A"/>
    <w:rsid w:val="002719B2"/>
    <w:rsid w:val="003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51EF-04E6-472B-AE88-D74B1785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9A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5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675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59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Александровна</dc:creator>
  <cp:keywords/>
  <dc:description/>
  <cp:lastModifiedBy>Абрамова Наталья Александровна</cp:lastModifiedBy>
  <cp:revision>1</cp:revision>
  <dcterms:created xsi:type="dcterms:W3CDTF">2023-11-10T13:44:00Z</dcterms:created>
  <dcterms:modified xsi:type="dcterms:W3CDTF">2023-11-10T13:45:00Z</dcterms:modified>
</cp:coreProperties>
</file>