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3C" w:rsidRDefault="003F6D2A">
      <w:pPr>
        <w:jc w:val="right"/>
        <w:rPr>
          <w:rFonts w:eastAsiaTheme="minorHAnsi"/>
          <w:i/>
          <w:sz w:val="22"/>
          <w:szCs w:val="22"/>
        </w:rPr>
      </w:pPr>
      <w:r>
        <w:rPr>
          <w:rFonts w:eastAsia="Calibri"/>
          <w:i/>
          <w:sz w:val="24"/>
          <w:szCs w:val="24"/>
        </w:rPr>
        <w:t>Приложение № 1</w:t>
      </w:r>
    </w:p>
    <w:p w:rsidR="003B503C" w:rsidRDefault="003F6D2A">
      <w:pPr>
        <w:spacing w:after="120"/>
        <w:jc w:val="right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к извещению о проведении закупки</w:t>
      </w:r>
    </w:p>
    <w:p w:rsidR="003B503C" w:rsidRDefault="003F6D2A">
      <w:pPr>
        <w:pStyle w:val="Web"/>
        <w:snapToGrid w:val="0"/>
        <w:spacing w:before="0" w:after="0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объекта закупки (техническое задание) на поставку</w:t>
      </w:r>
    </w:p>
    <w:p w:rsidR="003B503C" w:rsidRDefault="003F6D2A">
      <w:pPr>
        <w:tabs>
          <w:tab w:val="left" w:pos="6237"/>
        </w:tabs>
        <w:snapToGrid w:val="0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противопролежневых матрацев и подушек (далее – Товар)</w:t>
      </w:r>
    </w:p>
    <w:p w:rsidR="003B503C" w:rsidRDefault="003F6D2A">
      <w:pPr>
        <w:tabs>
          <w:tab w:val="left" w:pos="6237"/>
        </w:tabs>
        <w:snapToGrid w:val="0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для социального обеспечения граждан </w:t>
      </w:r>
      <w:bookmarkStart w:id="0" w:name="_GoBack"/>
      <w:bookmarkEnd w:id="0"/>
      <w:r>
        <w:rPr>
          <w:b/>
          <w:sz w:val="24"/>
          <w:szCs w:val="24"/>
        </w:rPr>
        <w:t>(далее –Получатели) в 2024 году</w:t>
      </w:r>
    </w:p>
    <w:p w:rsidR="003B503C" w:rsidRDefault="003B503C">
      <w:pPr>
        <w:jc w:val="both"/>
        <w:rPr>
          <w:sz w:val="24"/>
          <w:szCs w:val="28"/>
        </w:rPr>
      </w:pPr>
    </w:p>
    <w:p w:rsidR="003B503C" w:rsidRDefault="003F6D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поставки Товара </w:t>
      </w:r>
      <w:r>
        <w:rPr>
          <w:b/>
          <w:sz w:val="24"/>
          <w:szCs w:val="24"/>
        </w:rPr>
        <w:t>Получателям:</w:t>
      </w:r>
      <w:r>
        <w:rPr>
          <w:sz w:val="24"/>
          <w:szCs w:val="24"/>
        </w:rPr>
        <w:t xml:space="preserve"> с даты получения от Заказчика реестра получателей Товара до 30.09.2024 года включительно.</w:t>
      </w:r>
    </w:p>
    <w:p w:rsidR="003B503C" w:rsidRDefault="003B503C">
      <w:pPr>
        <w:jc w:val="both"/>
        <w:rPr>
          <w:sz w:val="24"/>
          <w:szCs w:val="24"/>
        </w:rPr>
      </w:pPr>
    </w:p>
    <w:p w:rsidR="003B503C" w:rsidRDefault="003F6D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доставки товара:</w:t>
      </w:r>
      <w:r>
        <w:rPr>
          <w:sz w:val="24"/>
          <w:szCs w:val="24"/>
        </w:rPr>
        <w:t xml:space="preserve"> Ленинградская область.</w:t>
      </w:r>
    </w:p>
    <w:p w:rsidR="003B503C" w:rsidRDefault="003B503C">
      <w:pPr>
        <w:jc w:val="both"/>
        <w:rPr>
          <w:sz w:val="24"/>
          <w:szCs w:val="24"/>
        </w:rPr>
      </w:pPr>
    </w:p>
    <w:p w:rsidR="003B503C" w:rsidRDefault="003F6D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жительства (место пребывания, фактического проживания) Получателей: </w:t>
      </w:r>
    </w:p>
    <w:p w:rsidR="003B503C" w:rsidRDefault="003F6D2A">
      <w:pPr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Ленинградская область.</w:t>
      </w:r>
    </w:p>
    <w:p w:rsidR="003B503C" w:rsidRDefault="003B503C">
      <w:pPr>
        <w:jc w:val="both"/>
        <w:rPr>
          <w:sz w:val="24"/>
          <w:szCs w:val="24"/>
        </w:rPr>
      </w:pPr>
    </w:p>
    <w:p w:rsidR="003B503C" w:rsidRDefault="003F6D2A">
      <w:pPr>
        <w:numPr>
          <w:ilvl w:val="0"/>
          <w:numId w:val="3"/>
        </w:numPr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Постав</w:t>
      </w:r>
      <w:r>
        <w:rPr>
          <w:sz w:val="24"/>
          <w:szCs w:val="24"/>
        </w:rPr>
        <w:t>щик обязан обеспечить поступление Товара по наименованию, в количестве и в сроки, определенные календарным планом:</w:t>
      </w:r>
    </w:p>
    <w:p w:rsidR="003B503C" w:rsidRDefault="003B503C">
      <w:pPr>
        <w:ind w:left="720"/>
        <w:contextualSpacing/>
        <w:jc w:val="both"/>
        <w:rPr>
          <w:sz w:val="24"/>
          <w:szCs w:val="24"/>
        </w:rPr>
      </w:pPr>
    </w:p>
    <w:tbl>
      <w:tblPr>
        <w:tblW w:w="955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26"/>
        <w:gridCol w:w="4675"/>
        <w:gridCol w:w="1700"/>
      </w:tblGrid>
      <w:tr w:rsidR="003B503C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Default="003F6D2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Default="003F6D2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Default="003F6D2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Периоды поставки </w:t>
            </w:r>
            <w:r>
              <w:rPr>
                <w:color w:val="000000" w:themeColor="text1"/>
                <w:sz w:val="24"/>
              </w:rPr>
              <w:t>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Default="003F6D2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B503C" w:rsidRDefault="003F6D2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(шт.)</w:t>
            </w:r>
          </w:p>
        </w:tc>
      </w:tr>
      <w:tr w:rsidR="003B503C">
        <w:trPr>
          <w:trHeight w:val="51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C" w:rsidRDefault="003F6D2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B503C" w:rsidRDefault="003B503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Default="003F6D2A">
            <w:pPr>
              <w:snapToGrid w:val="0"/>
              <w:ind w:right="135" w:hanging="28"/>
              <w:rPr>
                <w:sz w:val="24"/>
              </w:rPr>
            </w:pPr>
            <w:r>
              <w:rPr>
                <w:sz w:val="24"/>
              </w:rPr>
              <w:t>Противопролежневый</w:t>
            </w:r>
          </w:p>
          <w:p w:rsidR="003B503C" w:rsidRDefault="003F6D2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Cs/>
                <w:sz w:val="24"/>
              </w:rPr>
              <w:t xml:space="preserve">матрац </w:t>
            </w:r>
            <w:proofErr w:type="spellStart"/>
            <w:r>
              <w:rPr>
                <w:bCs/>
                <w:sz w:val="24"/>
              </w:rPr>
              <w:t>полеуретановый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3C" w:rsidRPr="003F6D2A" w:rsidRDefault="003F6D2A">
            <w:pPr>
              <w:rPr>
                <w:color w:val="000000" w:themeColor="text1"/>
                <w:sz w:val="24"/>
                <w:szCs w:val="24"/>
              </w:rPr>
            </w:pPr>
            <w:r w:rsidRPr="003F6D2A">
              <w:rPr>
                <w:color w:val="000000" w:themeColor="text1"/>
                <w:sz w:val="24"/>
                <w:szCs w:val="24"/>
              </w:rPr>
              <w:t>В течение 7 (семи) календарных дней с даты заключения государственного контракта.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Default="003F6D2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B503C">
        <w:trPr>
          <w:trHeight w:val="364"/>
        </w:trPr>
        <w:tc>
          <w:tcPr>
            <w:tcW w:w="7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3C" w:rsidRDefault="003B503C">
            <w:pPr>
              <w:rPr>
                <w:sz w:val="24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3C" w:rsidRDefault="003B503C">
            <w:pPr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3C" w:rsidRPr="003F6D2A" w:rsidRDefault="003F6D2A">
            <w:pPr>
              <w:rPr>
                <w:sz w:val="24"/>
                <w:szCs w:val="24"/>
              </w:rPr>
            </w:pPr>
            <w:r w:rsidRPr="003F6D2A">
              <w:rPr>
                <w:sz w:val="24"/>
                <w:szCs w:val="24"/>
              </w:rPr>
              <w:t>В течение 15 (пятнадцати) календарных дней с момента заключения</w:t>
            </w:r>
          </w:p>
          <w:p w:rsidR="003B503C" w:rsidRPr="003F6D2A" w:rsidRDefault="003F6D2A">
            <w:pPr>
              <w:rPr>
                <w:color w:val="000000" w:themeColor="text1"/>
                <w:sz w:val="24"/>
                <w:szCs w:val="24"/>
              </w:rPr>
            </w:pPr>
            <w:r w:rsidRPr="003F6D2A">
              <w:rPr>
                <w:sz w:val="24"/>
                <w:szCs w:val="24"/>
              </w:rPr>
              <w:t>государственного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Default="003F6D2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</w:tr>
      <w:tr w:rsidR="003B503C">
        <w:trPr>
          <w:trHeight w:val="23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Default="003F6D2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Default="003F6D2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sz w:val="24"/>
              </w:rPr>
              <w:t>Противопролежневый матрац гелевый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Pr="003F6D2A" w:rsidRDefault="003F6D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6D2A">
              <w:rPr>
                <w:color w:val="000000" w:themeColor="text1"/>
                <w:sz w:val="24"/>
                <w:szCs w:val="24"/>
              </w:rPr>
              <w:t>В течение 7 (семи) календарных дней с даты заключения государственного контракта.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Default="003F6D2A">
            <w:pPr>
              <w:tabs>
                <w:tab w:val="left" w:pos="570"/>
                <w:tab w:val="center" w:pos="77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B503C">
        <w:trPr>
          <w:trHeight w:val="231"/>
        </w:trPr>
        <w:tc>
          <w:tcPr>
            <w:tcW w:w="7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3C" w:rsidRDefault="003B503C">
            <w:pPr>
              <w:rPr>
                <w:b/>
                <w:sz w:val="24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3C" w:rsidRDefault="003B503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Pr="003F6D2A" w:rsidRDefault="003F6D2A">
            <w:pPr>
              <w:rPr>
                <w:sz w:val="24"/>
                <w:szCs w:val="24"/>
              </w:rPr>
            </w:pPr>
            <w:r w:rsidRPr="003F6D2A">
              <w:rPr>
                <w:sz w:val="24"/>
                <w:szCs w:val="24"/>
              </w:rPr>
              <w:t>В течение 15 (пятнадцати) календарных дней с момента заключения</w:t>
            </w:r>
          </w:p>
          <w:p w:rsidR="003B503C" w:rsidRPr="003F6D2A" w:rsidRDefault="003F6D2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F6D2A">
              <w:rPr>
                <w:sz w:val="24"/>
                <w:szCs w:val="24"/>
              </w:rPr>
              <w:t>государственного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Default="003F6D2A">
            <w:pPr>
              <w:tabs>
                <w:tab w:val="left" w:pos="570"/>
                <w:tab w:val="center" w:pos="77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B503C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Default="003F6D2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Default="003F6D2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sz w:val="24"/>
              </w:rPr>
              <w:t>Противопролежневая подушка полиуретановая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3C" w:rsidRPr="003F6D2A" w:rsidRDefault="003F6D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6D2A">
              <w:rPr>
                <w:color w:val="000000" w:themeColor="text1"/>
                <w:sz w:val="24"/>
                <w:szCs w:val="24"/>
              </w:rPr>
              <w:t>В течение 7 (семи) календарных дней с даты заключения государственного контракта.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Default="003F6D2A">
            <w:pPr>
              <w:tabs>
                <w:tab w:val="left" w:pos="570"/>
                <w:tab w:val="center" w:pos="77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B503C">
        <w:trPr>
          <w:trHeight w:val="20"/>
        </w:trPr>
        <w:tc>
          <w:tcPr>
            <w:tcW w:w="7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3C" w:rsidRDefault="003B503C">
            <w:pPr>
              <w:rPr>
                <w:b/>
                <w:sz w:val="24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3C" w:rsidRDefault="003B503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3C" w:rsidRPr="003F6D2A" w:rsidRDefault="003F6D2A">
            <w:pPr>
              <w:rPr>
                <w:sz w:val="24"/>
                <w:szCs w:val="24"/>
              </w:rPr>
            </w:pPr>
            <w:r w:rsidRPr="003F6D2A">
              <w:rPr>
                <w:sz w:val="24"/>
                <w:szCs w:val="24"/>
              </w:rPr>
              <w:t>В течение 15 (пятнадцати) календарных дней с момента заключения</w:t>
            </w:r>
          </w:p>
          <w:p w:rsidR="003B503C" w:rsidRPr="003F6D2A" w:rsidRDefault="003F6D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6D2A">
              <w:rPr>
                <w:sz w:val="24"/>
                <w:szCs w:val="24"/>
              </w:rPr>
              <w:t>государственного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Default="003F6D2A">
            <w:pPr>
              <w:tabs>
                <w:tab w:val="left" w:pos="570"/>
                <w:tab w:val="center" w:pos="77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3B503C">
        <w:trPr>
          <w:trHeight w:val="20"/>
        </w:trPr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Default="003F6D2A">
            <w:pPr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C" w:rsidRDefault="003F6D2A">
            <w:pPr>
              <w:tabs>
                <w:tab w:val="left" w:pos="570"/>
                <w:tab w:val="center" w:pos="77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555</w:t>
            </w:r>
          </w:p>
        </w:tc>
      </w:tr>
    </w:tbl>
    <w:p w:rsidR="003B503C" w:rsidRDefault="003B503C">
      <w:pPr>
        <w:jc w:val="both"/>
        <w:rPr>
          <w:sz w:val="24"/>
          <w:szCs w:val="24"/>
        </w:rPr>
      </w:pPr>
    </w:p>
    <w:p w:rsidR="003B503C" w:rsidRDefault="003F6D2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</w:t>
      </w:r>
      <w:r>
        <w:rPr>
          <w:sz w:val="24"/>
          <w:szCs w:val="24"/>
        </w:rPr>
        <w:t>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</w:t>
      </w:r>
      <w:r>
        <w:rPr>
          <w:sz w:val="24"/>
          <w:szCs w:val="24"/>
        </w:rPr>
        <w:t xml:space="preserve">ого исполнения обязательств по </w:t>
      </w:r>
      <w:r>
        <w:rPr>
          <w:sz w:val="24"/>
          <w:szCs w:val="24"/>
        </w:rPr>
        <w:lastRenderedPageBreak/>
        <w:t xml:space="preserve">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3B503C" w:rsidRDefault="003B503C">
      <w:pPr>
        <w:ind w:firstLine="426"/>
        <w:jc w:val="both"/>
        <w:rPr>
          <w:sz w:val="24"/>
          <w:szCs w:val="24"/>
        </w:rPr>
      </w:pPr>
    </w:p>
    <w:p w:rsidR="003B503C" w:rsidRDefault="003F6D2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Товар должен отвечать следующим требованиям:</w:t>
      </w: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701"/>
        <w:gridCol w:w="1701"/>
        <w:gridCol w:w="3402"/>
        <w:gridCol w:w="1745"/>
        <w:gridCol w:w="802"/>
      </w:tblGrid>
      <w:tr w:rsidR="003B503C">
        <w:trPr>
          <w:trHeight w:val="20"/>
        </w:trPr>
        <w:tc>
          <w:tcPr>
            <w:tcW w:w="284" w:type="dxa"/>
            <w:vAlign w:val="center"/>
          </w:tcPr>
          <w:p w:rsidR="003B503C" w:rsidRDefault="003F6D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Align w:val="center"/>
          </w:tcPr>
          <w:p w:rsidR="003B503C" w:rsidRDefault="003F6D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701" w:type="dxa"/>
            <w:vAlign w:val="center"/>
          </w:tcPr>
          <w:p w:rsidR="003B503C" w:rsidRDefault="003F6D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Товара по КТРУ</w:t>
            </w:r>
          </w:p>
        </w:tc>
        <w:tc>
          <w:tcPr>
            <w:tcW w:w="3402" w:type="dxa"/>
            <w:vAlign w:val="center"/>
          </w:tcPr>
          <w:p w:rsidR="003B503C" w:rsidRDefault="003F6D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Товара</w:t>
            </w:r>
          </w:p>
        </w:tc>
        <w:tc>
          <w:tcPr>
            <w:tcW w:w="1745" w:type="dxa"/>
            <w:vAlign w:val="center"/>
          </w:tcPr>
          <w:p w:rsidR="003B503C" w:rsidRDefault="003F6D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характеристики</w:t>
            </w:r>
          </w:p>
        </w:tc>
        <w:tc>
          <w:tcPr>
            <w:tcW w:w="802" w:type="dxa"/>
            <w:vAlign w:val="center"/>
          </w:tcPr>
          <w:p w:rsidR="003B503C" w:rsidRDefault="003F6D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Кол-во, (шт.)</w:t>
            </w:r>
          </w:p>
        </w:tc>
      </w:tr>
      <w:tr w:rsidR="003B503C">
        <w:trPr>
          <w:trHeight w:val="20"/>
        </w:trPr>
        <w:tc>
          <w:tcPr>
            <w:tcW w:w="284" w:type="dxa"/>
            <w:vMerge w:val="restart"/>
          </w:tcPr>
          <w:p w:rsidR="003B503C" w:rsidRDefault="003F6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Противопро-лежневый</w:t>
            </w:r>
            <w:proofErr w:type="spellEnd"/>
          </w:p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матрац полиуретановый</w:t>
            </w:r>
          </w:p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B503C" w:rsidRDefault="003F6D2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Матрас </w:t>
            </w:r>
            <w:proofErr w:type="spellStart"/>
            <w:r>
              <w:rPr>
                <w:color w:val="000000" w:themeColor="text1"/>
                <w:sz w:val="22"/>
              </w:rPr>
              <w:t>противопролеж-невый</w:t>
            </w:r>
            <w:proofErr w:type="spellEnd"/>
            <w:r>
              <w:rPr>
                <w:color w:val="000000" w:themeColor="text1"/>
                <w:sz w:val="22"/>
              </w:rPr>
              <w:t xml:space="preserve"> с наполнителем из пеноматериала</w:t>
            </w:r>
          </w:p>
        </w:tc>
        <w:tc>
          <w:tcPr>
            <w:tcW w:w="3402" w:type="dxa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Принцип действия </w:t>
            </w:r>
            <w:proofErr w:type="spellStart"/>
            <w:r>
              <w:rPr>
                <w:sz w:val="22"/>
                <w:szCs w:val="22"/>
              </w:rPr>
              <w:t>противопролежневого</w:t>
            </w:r>
            <w:proofErr w:type="spellEnd"/>
            <w:r>
              <w:rPr>
                <w:sz w:val="22"/>
                <w:szCs w:val="22"/>
              </w:rPr>
              <w:t xml:space="preserve"> матраца заключается в постоянном массажном воздействии и перераспределении давления с одних частей тела на другие</w:t>
            </w:r>
          </w:p>
        </w:tc>
        <w:tc>
          <w:tcPr>
            <w:tcW w:w="1745" w:type="dxa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2" w:type="dxa"/>
            <w:vMerge w:val="restart"/>
          </w:tcPr>
          <w:p w:rsidR="003B503C" w:rsidRDefault="003F6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 w:rsidR="003B503C">
        <w:trPr>
          <w:trHeight w:val="20"/>
        </w:trPr>
        <w:tc>
          <w:tcPr>
            <w:tcW w:w="284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Наполнитель матраца-упругий, вязко эластичный </w:t>
            </w:r>
            <w:proofErr w:type="spellStart"/>
            <w:r>
              <w:rPr>
                <w:sz w:val="22"/>
                <w:szCs w:val="22"/>
              </w:rPr>
              <w:t>пенополиуретан</w:t>
            </w:r>
            <w:proofErr w:type="spellEnd"/>
          </w:p>
        </w:tc>
        <w:tc>
          <w:tcPr>
            <w:tcW w:w="1745" w:type="dxa"/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2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</w:tr>
      <w:tr w:rsidR="003B503C">
        <w:trPr>
          <w:trHeight w:val="20"/>
        </w:trPr>
        <w:tc>
          <w:tcPr>
            <w:tcW w:w="284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Съёмный чехол</w:t>
            </w:r>
          </w:p>
        </w:tc>
        <w:tc>
          <w:tcPr>
            <w:tcW w:w="1745" w:type="dxa"/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2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</w:tr>
      <w:tr w:rsidR="003B503C">
        <w:trPr>
          <w:trHeight w:val="20"/>
        </w:trPr>
        <w:tc>
          <w:tcPr>
            <w:tcW w:w="284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Допустимая нагрузка на </w:t>
            </w:r>
            <w:r>
              <w:rPr>
                <w:sz w:val="22"/>
                <w:szCs w:val="22"/>
              </w:rPr>
              <w:t>изделие не менее 120 кг (включительно)</w:t>
            </w:r>
          </w:p>
        </w:tc>
        <w:tc>
          <w:tcPr>
            <w:tcW w:w="1745" w:type="dxa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2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</w:tr>
      <w:tr w:rsidR="003B503C">
        <w:trPr>
          <w:trHeight w:val="20"/>
        </w:trPr>
        <w:tc>
          <w:tcPr>
            <w:tcW w:w="284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матраца не менее 190 см (включительно),</w:t>
            </w:r>
          </w:p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 см (включительно)</w:t>
            </w:r>
          </w:p>
        </w:tc>
        <w:tc>
          <w:tcPr>
            <w:tcW w:w="1745" w:type="dxa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2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</w:tr>
      <w:tr w:rsidR="003B503C">
        <w:trPr>
          <w:trHeight w:val="20"/>
        </w:trPr>
        <w:tc>
          <w:tcPr>
            <w:tcW w:w="284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матраца не менее 80 см (включительно),</w:t>
            </w:r>
          </w:p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90 см</w:t>
            </w:r>
          </w:p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(включительно)</w:t>
            </w:r>
          </w:p>
        </w:tc>
        <w:tc>
          <w:tcPr>
            <w:tcW w:w="1745" w:type="dxa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2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</w:tr>
      <w:tr w:rsidR="003B503C">
        <w:trPr>
          <w:trHeight w:val="20"/>
        </w:trPr>
        <w:tc>
          <w:tcPr>
            <w:tcW w:w="284" w:type="dxa"/>
            <w:vMerge w:val="restart"/>
          </w:tcPr>
          <w:p w:rsidR="003B503C" w:rsidRDefault="003F6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Противопро-лежневый</w:t>
            </w:r>
            <w:proofErr w:type="spellEnd"/>
            <w:r>
              <w:rPr>
                <w:sz w:val="22"/>
                <w:szCs w:val="22"/>
              </w:rPr>
              <w:t xml:space="preserve"> матрац </w:t>
            </w:r>
            <w:proofErr w:type="spellStart"/>
            <w:r>
              <w:rPr>
                <w:sz w:val="22"/>
                <w:szCs w:val="22"/>
              </w:rPr>
              <w:t>гелевый</w:t>
            </w:r>
            <w:proofErr w:type="spellEnd"/>
          </w:p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B503C" w:rsidRDefault="003F6D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Матрас </w:t>
            </w:r>
            <w:proofErr w:type="spellStart"/>
            <w:r>
              <w:rPr>
                <w:color w:val="000000" w:themeColor="text1"/>
                <w:sz w:val="22"/>
              </w:rPr>
              <w:t>противопролеж-невый</w:t>
            </w:r>
            <w:proofErr w:type="spellEnd"/>
            <w:r>
              <w:rPr>
                <w:color w:val="000000" w:themeColor="text1"/>
                <w:sz w:val="22"/>
              </w:rPr>
              <w:t xml:space="preserve"> с </w:t>
            </w:r>
            <w:proofErr w:type="spellStart"/>
            <w:r>
              <w:rPr>
                <w:color w:val="000000" w:themeColor="text1"/>
                <w:sz w:val="22"/>
              </w:rPr>
              <w:t>гелевым</w:t>
            </w:r>
            <w:proofErr w:type="spellEnd"/>
            <w:r>
              <w:rPr>
                <w:color w:val="000000" w:themeColor="text1"/>
                <w:sz w:val="22"/>
              </w:rPr>
              <w:t xml:space="preserve"> наполнителем</w:t>
            </w:r>
          </w:p>
        </w:tc>
        <w:tc>
          <w:tcPr>
            <w:tcW w:w="3402" w:type="dxa"/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Наполняемость внутреннего объема материала – гель, распределенный в ячейки</w:t>
            </w:r>
          </w:p>
        </w:tc>
        <w:tc>
          <w:tcPr>
            <w:tcW w:w="1745" w:type="dxa"/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2" w:type="dxa"/>
            <w:vMerge w:val="restart"/>
          </w:tcPr>
          <w:p w:rsidR="003B503C" w:rsidRDefault="003F6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3B503C">
        <w:trPr>
          <w:trHeight w:val="288"/>
        </w:trPr>
        <w:tc>
          <w:tcPr>
            <w:tcW w:w="284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 комплектуется съемным чехлом</w:t>
            </w:r>
          </w:p>
        </w:tc>
        <w:tc>
          <w:tcPr>
            <w:tcW w:w="1745" w:type="dxa"/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2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</w:tr>
      <w:tr w:rsidR="003B503C">
        <w:trPr>
          <w:trHeight w:val="20"/>
        </w:trPr>
        <w:tc>
          <w:tcPr>
            <w:tcW w:w="284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Допустимая нагрузка на изделие не менее 120 кг </w:t>
            </w:r>
            <w:r>
              <w:rPr>
                <w:sz w:val="22"/>
                <w:szCs w:val="22"/>
              </w:rPr>
              <w:t>(включительно)</w:t>
            </w:r>
          </w:p>
        </w:tc>
        <w:tc>
          <w:tcPr>
            <w:tcW w:w="1745" w:type="dxa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2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</w:tr>
      <w:tr w:rsidR="003B503C">
        <w:trPr>
          <w:trHeight w:val="743"/>
        </w:trPr>
        <w:tc>
          <w:tcPr>
            <w:tcW w:w="284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матраца не менее 190 см (включительно), не более 200 см (включительно)</w:t>
            </w:r>
          </w:p>
        </w:tc>
        <w:tc>
          <w:tcPr>
            <w:tcW w:w="1745" w:type="dxa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2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</w:tr>
      <w:tr w:rsidR="003B503C">
        <w:trPr>
          <w:trHeight w:val="20"/>
        </w:trPr>
        <w:tc>
          <w:tcPr>
            <w:tcW w:w="284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матраца не менее 80 см (включительно),</w:t>
            </w:r>
          </w:p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90 см</w:t>
            </w:r>
          </w:p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(включительно)</w:t>
            </w:r>
          </w:p>
        </w:tc>
        <w:tc>
          <w:tcPr>
            <w:tcW w:w="1745" w:type="dxa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2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</w:tr>
      <w:tr w:rsidR="003B503C">
        <w:trPr>
          <w:trHeight w:val="20"/>
        </w:trPr>
        <w:tc>
          <w:tcPr>
            <w:tcW w:w="284" w:type="dxa"/>
            <w:vMerge w:val="restart"/>
          </w:tcPr>
          <w:p w:rsidR="003B503C" w:rsidRDefault="003F6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</w:t>
            </w:r>
            <w:proofErr w:type="spellEnd"/>
            <w:r>
              <w:rPr>
                <w:sz w:val="22"/>
                <w:szCs w:val="22"/>
              </w:rPr>
              <w:t>-лежневая подушка полиуретановая</w:t>
            </w:r>
          </w:p>
        </w:tc>
        <w:tc>
          <w:tcPr>
            <w:tcW w:w="1701" w:type="dxa"/>
            <w:vMerge w:val="restart"/>
          </w:tcPr>
          <w:p w:rsidR="003B503C" w:rsidRDefault="003F6D2A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Подушка</w:t>
            </w:r>
            <w:r>
              <w:rPr>
                <w:color w:val="000000" w:themeColor="text1"/>
                <w:sz w:val="22"/>
              </w:rPr>
              <w:t xml:space="preserve"> для сиденья с наполнителем из пеноматериала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Наполняемость внутреннего объема </w:t>
            </w:r>
            <w:proofErr w:type="spellStart"/>
            <w:r>
              <w:rPr>
                <w:sz w:val="22"/>
                <w:szCs w:val="22"/>
              </w:rPr>
              <w:t>противопрлежневой</w:t>
            </w:r>
            <w:proofErr w:type="spellEnd"/>
            <w:r>
              <w:rPr>
                <w:sz w:val="22"/>
                <w:szCs w:val="22"/>
              </w:rPr>
              <w:t xml:space="preserve"> подушки: упругий, </w:t>
            </w:r>
            <w:proofErr w:type="spellStart"/>
            <w:r>
              <w:rPr>
                <w:sz w:val="22"/>
                <w:szCs w:val="22"/>
              </w:rPr>
              <w:t>вязкоэластичный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пенополиуретан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2" w:type="dxa"/>
            <w:vMerge w:val="restart"/>
          </w:tcPr>
          <w:p w:rsidR="003B503C" w:rsidRDefault="003F6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3B503C">
        <w:trPr>
          <w:trHeight w:val="20"/>
        </w:trPr>
        <w:tc>
          <w:tcPr>
            <w:tcW w:w="284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Съемный чехол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2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</w:tr>
      <w:tr w:rsidR="003B503C">
        <w:trPr>
          <w:trHeight w:val="20"/>
        </w:trPr>
        <w:tc>
          <w:tcPr>
            <w:tcW w:w="284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Поверхность чехла изготовлена из водонепроницаемого материала, </w:t>
            </w:r>
            <w:r>
              <w:rPr>
                <w:sz w:val="22"/>
                <w:szCs w:val="22"/>
              </w:rPr>
              <w:t>ткани, обеспечивающей циркуляцию воздуха, имеет нескользящую поверхность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2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</w:tr>
      <w:tr w:rsidR="003B503C">
        <w:trPr>
          <w:trHeight w:val="20"/>
        </w:trPr>
        <w:tc>
          <w:tcPr>
            <w:tcW w:w="284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3C" w:rsidRDefault="003F6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 состоит из надувных камер</w:t>
            </w:r>
          </w:p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3C" w:rsidRDefault="003F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2" w:type="dxa"/>
            <w:vMerge/>
          </w:tcPr>
          <w:p w:rsidR="003B503C" w:rsidRDefault="003B503C">
            <w:pPr>
              <w:jc w:val="both"/>
              <w:rPr>
                <w:sz w:val="22"/>
                <w:szCs w:val="22"/>
              </w:rPr>
            </w:pPr>
          </w:p>
        </w:tc>
      </w:tr>
      <w:tr w:rsidR="003B503C">
        <w:trPr>
          <w:trHeight w:val="20"/>
        </w:trPr>
        <w:tc>
          <w:tcPr>
            <w:tcW w:w="8833" w:type="dxa"/>
            <w:gridSpan w:val="5"/>
            <w:tcBorders>
              <w:right w:val="single" w:sz="4" w:space="0" w:color="auto"/>
            </w:tcBorders>
          </w:tcPr>
          <w:p w:rsidR="003B503C" w:rsidRDefault="003F6D2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02" w:type="dxa"/>
          </w:tcPr>
          <w:p w:rsidR="003B503C" w:rsidRDefault="003F6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</w:tr>
    </w:tbl>
    <w:p w:rsidR="003B503C" w:rsidRDefault="003B503C">
      <w:pPr>
        <w:jc w:val="both"/>
        <w:rPr>
          <w:sz w:val="24"/>
          <w:szCs w:val="24"/>
        </w:rPr>
      </w:pPr>
    </w:p>
    <w:p w:rsidR="003B503C" w:rsidRDefault="003F6D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включения дополнительной информации в сведения о товаре, работе, услуге:</w:t>
      </w:r>
    </w:p>
    <w:p w:rsidR="003B503C" w:rsidRDefault="003F6D2A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рекомендации по установлению медицинских показаний и противопоказаний при назначении специалистами медико-социальной экспертизы технических средств </w:t>
      </w:r>
      <w:r>
        <w:rPr>
          <w:sz w:val="24"/>
          <w:szCs w:val="24"/>
        </w:rPr>
        <w:lastRenderedPageBreak/>
        <w:t>реабилитации инвалида и методика их рационального подбора, разработанные и утвержденные Минтруд</w:t>
      </w:r>
      <w:r>
        <w:rPr>
          <w:sz w:val="24"/>
          <w:szCs w:val="24"/>
        </w:rPr>
        <w:t xml:space="preserve">ом России в 2018 году (издание третье переработанное). </w:t>
      </w:r>
    </w:p>
    <w:p w:rsidR="003B503C" w:rsidRDefault="003F6D2A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ГОСТ Р 57769-2021 «Матрацы и подушки противопролежневые. Типы и основные параметры».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3.1. При использовании Товара по назначению не должно создаваться угрозы для жизни и здоровья потребителя, окружающ</w:t>
      </w:r>
      <w:r>
        <w:rPr>
          <w:sz w:val="24"/>
          <w:szCs w:val="24"/>
        </w:rPr>
        <w:t>ей среды, а также использование Товара не должно причинять вред имуществу потребителя при его эксплуатации (Закон РФ от 07.02.1992 № 2300-1 «О защите прав потребителей»).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3.2. Товар должен соответствовать требованиям государственного стандарта (ГОСТ), дейс</w:t>
      </w:r>
      <w:r>
        <w:rPr>
          <w:sz w:val="24"/>
          <w:szCs w:val="24"/>
        </w:rPr>
        <w:t>твующего на территории Российской Федерации ГОСТ Р 57769-2021 «Матрацы и подушки противопролежневые. Типы и основные параметры». Методические рекомендации по установлению медицинских показаний и противопоказаний при назначении специалистами медико-социальн</w:t>
      </w:r>
      <w:r>
        <w:rPr>
          <w:sz w:val="24"/>
          <w:szCs w:val="24"/>
        </w:rPr>
        <w:t>ой экспертизы технических средств реабилитации инвалида и методика их рационального подбора, разработанные и утвержденные Минтрудом России в 2018 году (издание третье переработанное).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Товар должен быть новым, Товаром, который не был в употреблении, в </w:t>
      </w:r>
      <w:r>
        <w:rPr>
          <w:sz w:val="24"/>
          <w:szCs w:val="24"/>
        </w:rPr>
        <w:t>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3.4. Упаковка Товара должна обеспечивать его защиту</w:t>
      </w:r>
      <w:r>
        <w:rPr>
          <w:sz w:val="24"/>
          <w:szCs w:val="24"/>
        </w:rPr>
        <w:t xml:space="preserve"> от повреждений, порчи (изнашивания), или загрязнения во время хранения и транспортирования к месту использования по назначению (п. 4.11.5 ГОСТ Р 51632-2021 «Технические средства реабилитации людей с ограничениями жизнедеятельности. Общие технические требо</w:t>
      </w:r>
      <w:r>
        <w:rPr>
          <w:sz w:val="24"/>
          <w:szCs w:val="24"/>
        </w:rPr>
        <w:t>вания и методы испытаний»).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 Гарантийный срок Товара составляет 12 месяцев со дня подписания Получателем акта приема-передачи Товара. 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Установленный гарантийный срок эксплуатации не распространяется на случаи нарушения Получателем условий и требований</w:t>
      </w:r>
      <w:r>
        <w:rPr>
          <w:sz w:val="24"/>
          <w:szCs w:val="24"/>
        </w:rPr>
        <w:t xml:space="preserve"> к эксплуатации Товара.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</w:t>
      </w:r>
      <w:r>
        <w:rPr>
          <w:sz w:val="24"/>
          <w:szCs w:val="24"/>
        </w:rPr>
        <w:t>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Срок выполнения гарантийного ремонта Товара</w:t>
      </w:r>
      <w:r>
        <w:rPr>
          <w:sz w:val="24"/>
          <w:szCs w:val="24"/>
        </w:rPr>
        <w:t xml:space="preserve"> не должен превышать 20 рабочих дней со дня обращения Получателя (Заказчика).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 передача Товара осуществляется непосредственно По</w:t>
      </w:r>
      <w:r>
        <w:rPr>
          <w:sz w:val="24"/>
          <w:szCs w:val="24"/>
        </w:rPr>
        <w:t>лучателю, Поставщик должен вместе с Товаром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Товара, а также содержащий адрес (адреса) и режим раб</w:t>
      </w:r>
      <w:r>
        <w:rPr>
          <w:sz w:val="24"/>
          <w:szCs w:val="24"/>
        </w:rPr>
        <w:t>оты пункта (пунктов) приема Получателей.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Прием Получателей по вопросам, касающимся выдачи и гарантийного ремонта Товара, осуществляется Поставщиком по месту нахождения организованных Поставщиком пунктов приема на территории Санкт-Петербурга.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Поставщик </w:t>
      </w:r>
      <w:r>
        <w:rPr>
          <w:sz w:val="24"/>
          <w:szCs w:val="24"/>
        </w:rPr>
        <w:t>обязан: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 Поставлять Товар для Получателей, имеющий действующие регистрационные удостоверения,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</w:t>
      </w:r>
      <w:r>
        <w:rPr>
          <w:sz w:val="24"/>
          <w:szCs w:val="24"/>
        </w:rPr>
        <w:t xml:space="preserve">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случае окончания срока действия указанных документов</w:t>
      </w:r>
      <w:r>
        <w:rPr>
          <w:sz w:val="24"/>
          <w:szCs w:val="24"/>
        </w:rPr>
        <w:t xml:space="preserve"> до полного исполнения </w:t>
      </w:r>
      <w:r>
        <w:rPr>
          <w:sz w:val="24"/>
          <w:szCs w:val="24"/>
        </w:rPr>
        <w:lastRenderedPageBreak/>
        <w:t>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Осуществлять поставку Товара Получателям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</w:t>
      </w:r>
      <w:r>
        <w:rPr>
          <w:sz w:val="24"/>
          <w:szCs w:val="24"/>
        </w:rPr>
        <w:t>21.08.2008 № 439н), выдаваемого Заказчиком.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</w:t>
      </w:r>
      <w:r>
        <w:rPr>
          <w:sz w:val="24"/>
          <w:szCs w:val="24"/>
        </w:rPr>
        <w:t>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</w:t>
      </w:r>
      <w:r>
        <w:rPr>
          <w:sz w:val="24"/>
          <w:szCs w:val="24"/>
        </w:rPr>
        <w:t xml:space="preserve"> статьей 188 Гражданского кодекса Российской Федерации, на момент передачи Товара представителю Получателя.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 работе с Получателями обеспечить соблюдение рекомендаций и санитарно-эпидемиологических требований Роспотребнадзора и исполнительных органов гос</w:t>
      </w:r>
      <w:r>
        <w:rPr>
          <w:sz w:val="24"/>
          <w:szCs w:val="24"/>
        </w:rPr>
        <w:t>ударственной власти Ленинградской области при возникновении неблагоприятной санитарно-эпидемиологической обстановки, в том числе в период распространении новой коронавирусной инфекции (COVID-19).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4.3. Обеспечить возможность выдачи Товара со дня, следующего</w:t>
      </w:r>
      <w:r>
        <w:rPr>
          <w:sz w:val="24"/>
          <w:szCs w:val="24"/>
        </w:rPr>
        <w:t xml:space="preserve"> за днем поступления Товара в Ленинградскую область в соответствии с календарным планом. В дальнейшем в пунктах приема ежедневно должно находиться количество Товара всех наименований в количестве, достаточном для бесперебойной выдачи.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4.4. Давать справки П</w:t>
      </w:r>
      <w:r>
        <w:rPr>
          <w:sz w:val="24"/>
          <w:szCs w:val="24"/>
        </w:rPr>
        <w:t>олучателям по вопросам, связанным с поставкой Товара, в часы работы пункта (пунктов) приема Получателей. Для звонков Получателей должен быть выделен телефонный номер. Информацию о телефонном номере Поставщик должен предоставить Заказчику не позднее 1 (одно</w:t>
      </w:r>
      <w:r>
        <w:rPr>
          <w:sz w:val="24"/>
          <w:szCs w:val="24"/>
        </w:rPr>
        <w:t>го) дня со дня заключения контракта.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Звонки с городских номеров Санкт-Петербурга и Ленинградской области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</w:t>
      </w:r>
      <w:r>
        <w:rPr>
          <w:sz w:val="24"/>
          <w:szCs w:val="24"/>
        </w:rPr>
        <w:t>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 и Ленинградской области; исключается возможность взимания оплаты</w:t>
      </w:r>
      <w:r>
        <w:rPr>
          <w:sz w:val="24"/>
          <w:szCs w:val="24"/>
        </w:rPr>
        <w:t xml:space="preserve"> за звонки Поставщиком. 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4.5. Вести аудиозаписи телефонных разговоров с Получателями по вопросам получения Товара. По требованию Заказчика Поставщик обязан предоставлять такие аудиозаписи. Вести журнал телефонных звонков из реестра Получателей Товара (пере</w:t>
      </w:r>
      <w:r>
        <w:rPr>
          <w:sz w:val="24"/>
          <w:szCs w:val="24"/>
        </w:rPr>
        <w:t>дается Заказчиком по мере формирования) с пометкой о времени звонка, результате звонка и выборе инвалидами способа, места и времени доставки Товара.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Заказчику в рамках подтверждения исполнения государственного контракта журнал телефонных звон</w:t>
      </w:r>
      <w:r>
        <w:rPr>
          <w:sz w:val="24"/>
          <w:szCs w:val="24"/>
        </w:rPr>
        <w:t>ков. Информировать Заказчика о невозможности предоставления Товара Получателю не позднее дня, следующего за днем доставки, согласованным с Получателем.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4.6. Давать справки Получателям по вопросам, связанным с поставкой Товара, а также осуществлять прием за</w:t>
      </w:r>
      <w:r>
        <w:rPr>
          <w:sz w:val="24"/>
          <w:szCs w:val="24"/>
        </w:rPr>
        <w:t>явок на доставку по месту нахождения Получателя.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4.7.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</w:t>
      </w:r>
      <w:r>
        <w:rPr>
          <w:sz w:val="24"/>
          <w:szCs w:val="24"/>
        </w:rPr>
        <w:t>иде по адресу osp@ro78.fss.ru, tsrfil31@ro78.fss.ru.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В случае привлечения к исполнению контракта соисполнителя в срок не позднее 1 (одного) рабочего дня со дня заключения контракта, предоставить Заказчику данные о соисполнителе: 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наименование, фирме</w:t>
      </w:r>
      <w:r>
        <w:rPr>
          <w:sz w:val="24"/>
          <w:szCs w:val="24"/>
        </w:rPr>
        <w:t xml:space="preserve">нное наименование (при наличии), место нахождения, почтовый </w:t>
      </w:r>
      <w:r>
        <w:rPr>
          <w:sz w:val="24"/>
          <w:szCs w:val="24"/>
        </w:rPr>
        <w:lastRenderedPageBreak/>
        <w:t>адрес (для юридического лица);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 (при наличии), паспортные данные, место жительства (для физического лица);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номер контактного телефона; 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почты;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идент</w:t>
      </w:r>
      <w:r>
        <w:rPr>
          <w:sz w:val="24"/>
          <w:szCs w:val="24"/>
        </w:rPr>
        <w:t>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операций, выполняемых соисполнителем в рамках контр</w:t>
      </w:r>
      <w:r>
        <w:rPr>
          <w:sz w:val="24"/>
          <w:szCs w:val="24"/>
        </w:rPr>
        <w:t>акта;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срок соисполнительства.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привлечения соисполнителя во время исполнения контракта предоставить вышеперечисленные сведения в срок не позднее 1 (одного) рабочего дня со дня заключения договора между Поставщиком и соисполнителем.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досрочном </w:t>
      </w:r>
      <w:r>
        <w:rPr>
          <w:sz w:val="24"/>
          <w:szCs w:val="24"/>
        </w:rPr>
        <w:t>расторжении договора между Поставщиком и соисполнителем Поставщик уведомить об этом Заказчика в срок не позднее 1 (одного) рабочего дня со дня расторжения такого договора.</w:t>
      </w:r>
    </w:p>
    <w:p w:rsidR="003B503C" w:rsidRDefault="003F6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предоставляется сопроводительным письмом с приложением подтверждающих док</w:t>
      </w:r>
      <w:r>
        <w:rPr>
          <w:sz w:val="24"/>
          <w:szCs w:val="24"/>
        </w:rPr>
        <w:t>ументов на бумажном носителе и в электронном виде по адресу osp@ro78.fss.ru.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5. Способ поставки: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5.1. Предоставить Получателям согласно реестру получателей Товара право выбора одного из способов получения Товара:</w:t>
      </w:r>
    </w:p>
    <w:p w:rsidR="003B503C" w:rsidRDefault="003F6D2A">
      <w:pPr>
        <w:shd w:val="clear" w:color="auto" w:fill="FFFFFF"/>
        <w:spacing w:line="224" w:lineRule="atLeast"/>
        <w:ind w:left="175" w:right="8" w:hanging="140"/>
        <w:jc w:val="both"/>
        <w:rPr>
          <w:color w:val="212121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-  </w:t>
      </w:r>
      <w:r>
        <w:rPr>
          <w:color w:val="212121"/>
          <w:sz w:val="24"/>
          <w:szCs w:val="24"/>
        </w:rPr>
        <w:t xml:space="preserve">по месту жительства (месту пребывания, </w:t>
      </w:r>
      <w:r>
        <w:rPr>
          <w:color w:val="212121"/>
          <w:sz w:val="24"/>
          <w:szCs w:val="24"/>
        </w:rPr>
        <w:t>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B503C" w:rsidRDefault="003F6D2A">
      <w:pPr>
        <w:shd w:val="clear" w:color="auto" w:fill="FFFFFF"/>
        <w:spacing w:line="224" w:lineRule="atLeast"/>
        <w:ind w:left="175" w:right="8" w:hanging="140"/>
        <w:jc w:val="both"/>
        <w:rPr>
          <w:color w:val="212121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-  </w:t>
      </w:r>
      <w:r>
        <w:rPr>
          <w:color w:val="212121"/>
          <w:sz w:val="24"/>
          <w:szCs w:val="24"/>
        </w:rPr>
        <w:t>в пункте (пунктах) приема Получателей, организованных Поставщиком.</w:t>
      </w:r>
    </w:p>
    <w:p w:rsidR="003B503C" w:rsidRDefault="003F6D2A">
      <w:pPr>
        <w:shd w:val="clear" w:color="auto" w:fill="FFFFFF"/>
        <w:ind w:left="45" w:right="8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Поставщик обязан предо</w:t>
      </w:r>
      <w:r>
        <w:rPr>
          <w:color w:val="212121"/>
          <w:sz w:val="24"/>
          <w:szCs w:val="24"/>
        </w:rPr>
        <w:t>ставлять Получателям право выбора способа получения Товара. Доставка Товара по месту жительства (месту пребывания, фактического проживания) Получателя в том числе службой доставки (почтовым отправлением) осуществляется за счет собственных средств Поставщик</w:t>
      </w:r>
      <w:r>
        <w:rPr>
          <w:color w:val="212121"/>
          <w:sz w:val="24"/>
          <w:szCs w:val="24"/>
        </w:rPr>
        <w:t>а.</w:t>
      </w:r>
    </w:p>
    <w:p w:rsidR="003B503C" w:rsidRDefault="003F6D2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5.2. В целях реализации возможности получения Товара Получателем через пункт (пункты) приема Получателей и недопущения длительного ожидания в очереди при получении Товара Поставщик должен организовать не менее 1 (одного) пункта приема Получателей в срок</w:t>
      </w:r>
      <w:r>
        <w:rPr>
          <w:rFonts w:eastAsia="Calibri"/>
          <w:color w:val="000000"/>
          <w:sz w:val="24"/>
          <w:szCs w:val="24"/>
          <w:lang w:eastAsia="en-US"/>
        </w:rPr>
        <w:t xml:space="preserve"> не позднее 1 (одного) рабочего дня с даты заключения государственного контракта в г. Санкт-Петербург, который должен действовать до конца выдачи Товара, согласно условиям Технического задания. При организации нескольких пунктов приема Получателей на терри</w:t>
      </w:r>
      <w:r>
        <w:rPr>
          <w:rFonts w:eastAsia="Calibri"/>
          <w:color w:val="000000"/>
          <w:sz w:val="24"/>
          <w:szCs w:val="24"/>
          <w:lang w:eastAsia="en-US"/>
        </w:rPr>
        <w:t xml:space="preserve">тории Санкт-Петербурга и (или) Ленинградской области, они должны быть организованы в различных районах Санкт-Петербурга и (или) Ленинградской области. </w:t>
      </w:r>
    </w:p>
    <w:p w:rsidR="003B503C" w:rsidRDefault="003F6D2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Пункт (пункты) приема Получателей, организованные на территории Санкт-Петербурга должны быть расположены</w:t>
      </w:r>
      <w:r>
        <w:rPr>
          <w:rFonts w:eastAsia="Calibri"/>
          <w:color w:val="000000"/>
          <w:sz w:val="24"/>
          <w:szCs w:val="24"/>
          <w:lang w:eastAsia="en-US"/>
        </w:rPr>
        <w:t xml:space="preserve"> в пешей доступности от станции метрополитена (под пешей доступностью, в силу п. 11.24. СП 42.13330.2016 «Градостроительство. Планировка и застройка городских и сельских поселений. Актуализированная редакция СНиП 2.07.01-89», принимается расстояние в 500 м</w:t>
      </w:r>
      <w:r>
        <w:rPr>
          <w:rFonts w:eastAsia="Calibri"/>
          <w:color w:val="000000"/>
          <w:sz w:val="24"/>
          <w:szCs w:val="24"/>
          <w:lang w:eastAsia="en-US"/>
        </w:rPr>
        <w:t>етров). В связи с отсутствием указания на конкретный вид транспорта в п. 11.24 СП 42.13330.2016 для однозначного толкования всеми участниками закупки Заказчик определил термин «остановка общественного транспорта» станцию метрополитена. Метрополитен являетс</w:t>
      </w:r>
      <w:r>
        <w:rPr>
          <w:rFonts w:eastAsia="Calibri"/>
          <w:color w:val="000000"/>
          <w:sz w:val="24"/>
          <w:szCs w:val="24"/>
          <w:lang w:eastAsia="en-US"/>
        </w:rPr>
        <w:t>я наиболее удобным и разветвленным видом транспорта в городе Санкт-Петербург, обеспечивающим безопасную и комфортную перевозку пассажиров всех категорий, в том числе отвечающую требованиям по обеспечению доступа инвалидов и иных маломобильных граждан.</w:t>
      </w:r>
    </w:p>
    <w:p w:rsidR="003B503C" w:rsidRDefault="003F6D2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В со</w:t>
      </w:r>
      <w:r>
        <w:rPr>
          <w:rFonts w:eastAsia="Calibri"/>
          <w:color w:val="000000"/>
          <w:sz w:val="24"/>
          <w:szCs w:val="24"/>
          <w:lang w:eastAsia="en-US"/>
        </w:rPr>
        <w:t xml:space="preserve">ответствии с частью 2 статьи 12 Федерального закона от 30.12.2009 №384-ФЗ «Технический регламент о безопасности зданий и сооружений» </w:t>
      </w:r>
    </w:p>
    <w:p w:rsidR="003B503C" w:rsidRDefault="003F6D2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объекты транспортной инфраструктуры должны быть оборудованы специальными приспособлениями, позволяющими инвалидам и другим</w:t>
      </w:r>
      <w:r>
        <w:rPr>
          <w:rFonts w:eastAsia="Calibri"/>
          <w:color w:val="000000"/>
          <w:sz w:val="24"/>
          <w:szCs w:val="24"/>
          <w:lang w:eastAsia="en-US"/>
        </w:rPr>
        <w:t xml:space="preserve">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3B503C" w:rsidRDefault="003F6D2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>В городе Санкт-Петербург таким объектом транспортной инфраструктуры, отвечающим установленным тр</w:t>
      </w:r>
      <w:r>
        <w:rPr>
          <w:rFonts w:eastAsia="Calibri"/>
          <w:color w:val="000000"/>
          <w:sz w:val="24"/>
          <w:szCs w:val="24"/>
          <w:lang w:eastAsia="en-US"/>
        </w:rPr>
        <w:t>ебованиям, является метрополитен.</w:t>
      </w:r>
    </w:p>
    <w:p w:rsidR="003B503C" w:rsidRDefault="003F6D2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Пункты приема Получателей, организованные на территории Ленинградской области должны находиться на территории административных центров муниципальных районов, административного центра городского округа, в пешей доступности </w:t>
      </w:r>
      <w:r>
        <w:rPr>
          <w:rFonts w:eastAsia="Calibri"/>
          <w:color w:val="000000"/>
          <w:sz w:val="24"/>
          <w:szCs w:val="24"/>
          <w:lang w:eastAsia="en-US"/>
        </w:rPr>
        <w:t>от остановок общественного транспорта (под пешей доступностью, в силу п. 11.24. СП 42.13330.2016 «Градостроительство.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</w:t>
      </w:r>
    </w:p>
    <w:p w:rsidR="003B503C" w:rsidRDefault="003F6D2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Санкт-Петербурга. </w:t>
      </w:r>
    </w:p>
    <w:p w:rsidR="003B503C" w:rsidRDefault="003F6D2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Не позднее 1 (одного) рабочего дня с даты </w:t>
      </w:r>
      <w:r>
        <w:rPr>
          <w:rFonts w:eastAsia="Calibri"/>
          <w:color w:val="000000"/>
          <w:sz w:val="24"/>
          <w:szCs w:val="24"/>
          <w:lang w:eastAsia="en-US"/>
        </w:rPr>
        <w:t>заключения государственного контракта Поставщик должен предоставить Заказчику информацию об адресе пункта (пунктов) приема Получателей, графике работы пункта (пунктов) приема Получателей, контактном телефоне.</w:t>
      </w:r>
    </w:p>
    <w:p w:rsidR="003B503C" w:rsidRDefault="003F6D2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Не позднее 1 (одного) рабочего дня с даты заклю</w:t>
      </w:r>
      <w:r>
        <w:rPr>
          <w:rFonts w:eastAsia="Calibri"/>
          <w:color w:val="000000"/>
          <w:sz w:val="24"/>
          <w:szCs w:val="24"/>
          <w:lang w:eastAsia="en-US"/>
        </w:rPr>
        <w:t>чения государственного контракта Поставщик передает Заказчику копии документов, подтверждающих право Поставщика использовать помещения пункта (пунктов) приема Получателей, заверенные Поставщиком надлежащим образом. Документы должны быть предоставлены на бу</w:t>
      </w:r>
      <w:r>
        <w:rPr>
          <w:rFonts w:eastAsia="Calibri"/>
          <w:color w:val="000000"/>
          <w:sz w:val="24"/>
          <w:szCs w:val="24"/>
          <w:lang w:eastAsia="en-US"/>
        </w:rPr>
        <w:t>мажном носителе сопроводительным письмом с приложением.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5.3. Поставщик обязан предоставить доступное для людей с инвалидностью помещение под размещение пункта (пунктов) приема получателей в соответствии со статьей 15 Федерального закона от 24.11.1995 № 181</w:t>
      </w:r>
      <w:r>
        <w:rPr>
          <w:color w:val="212121"/>
          <w:sz w:val="24"/>
          <w:szCs w:val="24"/>
        </w:rPr>
        <w:t xml:space="preserve"> «О социальной защите инвалидов в Российской Федерации.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Вход в каждый пункт (пункты)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 (пунктов). Проход </w:t>
      </w:r>
      <w:r>
        <w:rPr>
          <w:color w:val="212121"/>
          <w:sz w:val="24"/>
          <w:szCs w:val="24"/>
        </w:rPr>
        <w:t>в пункт (пункты) приема и передвижение по ним должны быть беспрепятственны для инвалидов (в случае необходимости, пункты приема должны быть оборудованы пандусами для облегчения передвижения инвалидов и соответствовать требованиям СП 59.13330.2020 «Доступно</w:t>
      </w:r>
      <w:r>
        <w:rPr>
          <w:color w:val="212121"/>
          <w:sz w:val="24"/>
          <w:szCs w:val="24"/>
        </w:rPr>
        <w:t>сть зданий и сооружений для маломобильных групп населения». Поставщиком должна быть обеспечена возможность самостоятельного передвижения инвалидов по территории пункта (пунктов) приема, в том числе с помощью его работников, а также сменного кресла-коляски.</w:t>
      </w:r>
    </w:p>
    <w:p w:rsidR="003B503C" w:rsidRDefault="003F6D2A">
      <w:pPr>
        <w:shd w:val="clear" w:color="auto" w:fill="FFFFFF"/>
        <w:jc w:val="both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Входная группа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При перепадах высот Поставщик должен учитывать наличие следующих элементов: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- Пандус с поручнями;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(в соответствии с п. 5.1.14 – п. 5.1.16; п. 6.1.2 – п. 6.1.4; п. 6.2.9 – п. 6.2.11 СП 59.13330.2020);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Пандус должен иметь нормативный угол нак</w:t>
      </w:r>
      <w:r>
        <w:rPr>
          <w:color w:val="212121"/>
          <w:sz w:val="24"/>
          <w:szCs w:val="24"/>
        </w:rPr>
        <w:t>лона, непрерывное двухстороннее ограждение с поручнями шириной не более 0,9-1,0 метра, высотой нижних поручней 0,7 м, а верхних 0,9 м.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- Лестница с поручнями;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Вдоль обеих сторон всех пандусов и открытых лестниц необходимо устанавливать ограждения с поручня</w:t>
      </w:r>
      <w:r>
        <w:rPr>
          <w:color w:val="212121"/>
          <w:sz w:val="24"/>
          <w:szCs w:val="24"/>
        </w:rPr>
        <w:t>ми. Поручни следует располагать на высоте 0,9 м (в соответствии с п. 6.2.11 СП 59.13330.2020).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Краевые ступени (плоскость) лестниц необходимо обеспечить противоскользящими контрастными полосами общей шириной 0,08-0.1м. (в соответствии с п. 6.2.8 СП </w:t>
      </w:r>
      <w:r>
        <w:rPr>
          <w:color w:val="212121"/>
          <w:sz w:val="24"/>
          <w:szCs w:val="24"/>
        </w:rPr>
        <w:t>59.13330.2020)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Применение для инвалидов вместо пандусов аппарелей не допускается на объекте (в соответствии с п. 6.1.2 СП 59.13330.2020).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- Ширина дверных проемов не менее 0,9 м. Прозрачное полотно двери необходимо оснастить яркой контрастной маркировкой. </w:t>
      </w:r>
      <w:r>
        <w:rPr>
          <w:color w:val="212121"/>
          <w:sz w:val="24"/>
          <w:szCs w:val="24"/>
        </w:rPr>
        <w:t>В проемах дверей допускаются пороги высотой не более 0,014 м. (в соответствии с п.6.1.5, п. 6.1.6, п.6.2.4 СП 59.13330.2020)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- Тактильно-контрастные указатели;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lastRenderedPageBreak/>
        <w:t xml:space="preserve">В целях обеспечения безопасности необходимо иметь перед препятствиями доступного входа, началом </w:t>
      </w:r>
      <w:r>
        <w:rPr>
          <w:color w:val="212121"/>
          <w:sz w:val="24"/>
          <w:szCs w:val="24"/>
        </w:rPr>
        <w:t>опасного участка, перед внешней лестницей, предупреждающие тактильно-контрастные указатели. (в соответствии с п. 5.1.10 СП 59.13330.2020).</w:t>
      </w:r>
    </w:p>
    <w:p w:rsidR="003B503C" w:rsidRDefault="003F6D2A">
      <w:pPr>
        <w:suppressAutoHyphens/>
        <w:jc w:val="both"/>
        <w:rPr>
          <w:b/>
          <w:sz w:val="24"/>
          <w:szCs w:val="24"/>
        </w:rPr>
      </w:pPr>
      <w:r>
        <w:rPr>
          <w:b/>
          <w:color w:val="212121"/>
          <w:sz w:val="24"/>
          <w:szCs w:val="24"/>
        </w:rPr>
        <w:t xml:space="preserve">Пути движения внутри пункта (пунктов) </w:t>
      </w:r>
      <w:r>
        <w:rPr>
          <w:b/>
          <w:sz w:val="24"/>
          <w:szCs w:val="24"/>
        </w:rPr>
        <w:t>приема Получателей</w:t>
      </w:r>
    </w:p>
    <w:p w:rsidR="003B503C" w:rsidRDefault="003F6D2A">
      <w:pPr>
        <w:suppressAutoHyphens/>
        <w:spacing w:line="25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color w:val="212121"/>
          <w:sz w:val="24"/>
          <w:szCs w:val="24"/>
        </w:rPr>
        <w:t>При перепадах высот Поставщик должен учитывать наличие следу</w:t>
      </w:r>
      <w:r>
        <w:rPr>
          <w:color w:val="212121"/>
          <w:sz w:val="24"/>
          <w:szCs w:val="24"/>
        </w:rPr>
        <w:t>ющих элементов: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- Лифт, подъемная платформа, эскалатор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(в соответствии с п. 6.2.13 – п. 6.2.18 СП 59.13330.2020).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Лифт должен иметь габариты не менее 1100х1400 мм (ширина х глубина).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- Лестницы необходимо обеспечить противоскользящими контрастными полосами</w:t>
      </w:r>
      <w:r>
        <w:rPr>
          <w:color w:val="212121"/>
          <w:sz w:val="24"/>
          <w:szCs w:val="24"/>
        </w:rPr>
        <w:t xml:space="preserve"> общей шириной 0,08-0.1м. (в соответствии с п. 6.2.8 СП 59.13330.2020).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-  Необходимо обеспечить зону досягаемости для посетителей в кресле-коляске в пределах, установленных в соответствии с п. 8.1.7 СП 59.13330.2020.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- Помещение пункта (пунктов) приема до</w:t>
      </w:r>
      <w:r>
        <w:rPr>
          <w:color w:val="212121"/>
          <w:sz w:val="24"/>
          <w:szCs w:val="24"/>
        </w:rPr>
        <w:t>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</w:t>
      </w:r>
      <w:r>
        <w:rPr>
          <w:color w:val="212121"/>
          <w:sz w:val="24"/>
          <w:szCs w:val="24"/>
        </w:rPr>
        <w:t>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- Ширина дверных полотен, открытых проемов в стене на путях движения внутри пункта (пунктов) должна быть</w:t>
      </w:r>
      <w:r>
        <w:rPr>
          <w:color w:val="212121"/>
          <w:sz w:val="24"/>
          <w:szCs w:val="24"/>
        </w:rPr>
        <w:t xml:space="preserve"> не менее 0,9 м. Дверные проемы не должны иметь порогов более 0,014 м. (в соответствии с п. 6.2.4 СП 59.13330.2020).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- </w:t>
      </w:r>
      <w:proofErr w:type="gramStart"/>
      <w:r>
        <w:rPr>
          <w:color w:val="212121"/>
          <w:sz w:val="24"/>
          <w:szCs w:val="24"/>
        </w:rPr>
        <w:t>В</w:t>
      </w:r>
      <w:proofErr w:type="gramEnd"/>
      <w:r>
        <w:rPr>
          <w:color w:val="212121"/>
          <w:sz w:val="24"/>
          <w:szCs w:val="24"/>
        </w:rPr>
        <w:t xml:space="preserve"> целях безопасности, участки пола на путях движения человека с инвалидностью должны быть оснащены тактильно-контрастными предупреждающим</w:t>
      </w:r>
      <w:r>
        <w:rPr>
          <w:color w:val="212121"/>
          <w:sz w:val="24"/>
          <w:szCs w:val="24"/>
        </w:rPr>
        <w:t>и указателями (в соответствии с п.6.2.3 СП 59.13330.2020).</w:t>
      </w:r>
    </w:p>
    <w:p w:rsidR="003B503C" w:rsidRDefault="003F6D2A">
      <w:pPr>
        <w:shd w:val="clear" w:color="auto" w:fill="FFFFFF"/>
        <w:jc w:val="both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Пути эвакуации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В случае невозможности соблюдения положений ч.15 ст.89 Федерального закона от 22.07.2008 N 123-ФЗ «Технический регламент о требованиях пожарной безопасности» помещения для обслуживан</w:t>
      </w:r>
      <w:r>
        <w:rPr>
          <w:color w:val="212121"/>
          <w:sz w:val="24"/>
          <w:szCs w:val="24"/>
        </w:rPr>
        <w:t>ия получателей должны быть предусмотрены не выше первого этажа, при этом во всех случаях пути эвакуации должны соответствовать требованиям СП 59.13330.2020 «Доступность зданий и сооружений для маломобильных групп населения».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Пути эвакуации помещений пункта</w:t>
      </w:r>
      <w:r>
        <w:rPr>
          <w:color w:val="212121"/>
          <w:sz w:val="24"/>
          <w:szCs w:val="24"/>
        </w:rPr>
        <w:t xml:space="preserve"> (пунктов) приема должны обеспечивать безопасность посетителей в соответствии с п.6.2.19-п.6.2.32 СП 59.13330.2020.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Обеспечить систему двухсторонней связи с диспетчером или дежурным (в соответствии с п. 6.5.8 СП 59.13330.2020).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5.4. На территории пункта </w:t>
      </w:r>
      <w:r>
        <w:rPr>
          <w:color w:val="212121"/>
          <w:sz w:val="24"/>
          <w:szCs w:val="24"/>
        </w:rPr>
        <w:t xml:space="preserve">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 (с Поправкой, с Изменениями N 1, 2, 3), со свободным </w:t>
      </w:r>
      <w:r>
        <w:rPr>
          <w:color w:val="212121"/>
          <w:sz w:val="24"/>
          <w:szCs w:val="24"/>
        </w:rPr>
        <w:t>доступом Получателей. При чем не менее 1 (одной) оборудованной для посещения инвалидами в соответствии с п. 6.3.3, 6.3.6, 6.3.9 СП 59.13330.2020 «Доступность зданий и сооружений для маломобильных групп населения».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5.5. Пункт(ы) приема должен иметь отдельны</w:t>
      </w:r>
      <w:r>
        <w:rPr>
          <w:color w:val="212121"/>
          <w:sz w:val="24"/>
          <w:szCs w:val="24"/>
        </w:rPr>
        <w:t>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</w:t>
      </w:r>
      <w:r>
        <w:rPr>
          <w:color w:val="212121"/>
          <w:sz w:val="24"/>
          <w:szCs w:val="24"/>
        </w:rPr>
        <w:t xml:space="preserve"> приема не позволяет обеспечить достижение указанного показателя, Поставщиком оборудуются дополнительные окна обслуживания.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5.6. Окна обслуживания должны быть оборудованы в зоне обслуживания Получателей. Зона обслуживания не должна располагаться в зоне ожи</w:t>
      </w:r>
      <w:r>
        <w:rPr>
          <w:color w:val="212121"/>
          <w:sz w:val="24"/>
          <w:szCs w:val="24"/>
        </w:rPr>
        <w:t>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5.7. Товар должен находиться на складе</w:t>
      </w:r>
      <w:r>
        <w:rPr>
          <w:color w:val="212121"/>
          <w:sz w:val="24"/>
          <w:szCs w:val="24"/>
        </w:rPr>
        <w:t xml:space="preserve"> пункта (пунктов) приема, обеспечивающем его надлежащее хранение. Товар не должен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lastRenderedPageBreak/>
        <w:t xml:space="preserve">5.8. Пункт (пункты) приема должны иметь </w:t>
      </w:r>
      <w:r>
        <w:rPr>
          <w:color w:val="212121"/>
          <w:sz w:val="24"/>
          <w:szCs w:val="24"/>
        </w:rPr>
        <w:t>следующие условия доступности в соответствии с Приказом Министерства труда и социальной защиты РФ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</w:t>
      </w:r>
      <w:r>
        <w:rPr>
          <w:color w:val="212121"/>
          <w:sz w:val="24"/>
          <w:szCs w:val="24"/>
        </w:rPr>
        <w:t>циальной защиты населения, а также оказания им при этом необходимой помощи»: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- возможность беспрепятственного входа в объекты и выхода из них;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- возможность самостоятельного передвижения по территории объекта в целях доступа к месту предоставления услуги, </w:t>
      </w:r>
      <w:r>
        <w:rPr>
          <w:color w:val="212121"/>
          <w:sz w:val="24"/>
          <w:szCs w:val="24"/>
        </w:rPr>
        <w:t>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- сопровождение получателей, имеющих стойкие нарушения функции зрения и самостоятельного передвижения по территории</w:t>
      </w:r>
      <w:r>
        <w:rPr>
          <w:color w:val="212121"/>
          <w:sz w:val="24"/>
          <w:szCs w:val="24"/>
        </w:rPr>
        <w:t xml:space="preserve"> объекта;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- содействие получателю при входе в объект и выходе из него, информирование инвалида о доступных маршрутах общественного транспорта;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- надлежащее размещение носителей информации, необходимой для обеспечения беспрепятственного доступа инвалидов к </w:t>
      </w:r>
      <w:r>
        <w:rPr>
          <w:color w:val="212121"/>
          <w:sz w:val="24"/>
          <w:szCs w:val="24"/>
        </w:rPr>
        <w:t>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</w:t>
      </w:r>
      <w:r>
        <w:rPr>
          <w:color w:val="212121"/>
          <w:sz w:val="24"/>
          <w:szCs w:val="24"/>
        </w:rPr>
        <w:t>ечным шрифтом Брайля и на контрастном фоне;</w:t>
      </w:r>
    </w:p>
    <w:p w:rsidR="003B503C" w:rsidRDefault="003F6D2A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</w:t>
      </w:r>
      <w:r>
        <w:rPr>
          <w:color w:val="212121"/>
          <w:sz w:val="24"/>
          <w:szCs w:val="24"/>
        </w:rPr>
        <w:t>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3B503C" w:rsidRDefault="003F6D2A">
      <w:pPr>
        <w:suppressAutoHyphens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5.9 Пункты должны обеспечивать прием Получателей не менее 6 (шести) дней в н</w:t>
      </w:r>
      <w:r>
        <w:rPr>
          <w:color w:val="000000"/>
          <w:sz w:val="24"/>
          <w:szCs w:val="24"/>
        </w:rPr>
        <w:t>еделю, не менее 40 часов в неделю, при этом, время работы пункта (пунктов) должно попадать в интервал с 08:00 до 22:00.</w:t>
      </w:r>
    </w:p>
    <w:p w:rsidR="003B503C" w:rsidRDefault="003F6D2A">
      <w:pPr>
        <w:suppressAutoHyphens/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color w:val="212121"/>
          <w:sz w:val="24"/>
          <w:szCs w:val="24"/>
        </w:rPr>
        <w:t>5.10. Заказчик вправе предоставить Поставщику без взимания платы помещение для организации пункта приема Товара Получателям. Поставщик о</w:t>
      </w:r>
      <w:r>
        <w:rPr>
          <w:color w:val="212121"/>
          <w:sz w:val="24"/>
          <w:szCs w:val="24"/>
        </w:rPr>
        <w:t>бязан организовать выдачу Товара в предложенном пункте приема. 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6. В случае выбора Получателем способа получения Товара по месту нахождения пункта (пунктов) приема, организованных Поставщиком, передача Товара Получателю осуществляется в день обращения Полу</w:t>
      </w:r>
      <w:r>
        <w:rPr>
          <w:sz w:val="24"/>
          <w:szCs w:val="24"/>
        </w:rPr>
        <w:t>чателя в пункт(-ы)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6.1. Передача Товара Получателям должна производиться в каждом из пунктов приема не менее 6 (шести) дней в неде</w:t>
      </w:r>
      <w:r>
        <w:rPr>
          <w:sz w:val="24"/>
          <w:szCs w:val="24"/>
        </w:rPr>
        <w:t xml:space="preserve">лю, не менее 40 (сорока) часов в неделю, при этом, время работы должно быть в интервале с 08:00 до 22:00. 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6.2. В случае выбора Получателем способа получения Товара путем передачи Товара по месту нахождения Получателя, такая доставка осуществляется Поставщ</w:t>
      </w:r>
      <w:r>
        <w:rPr>
          <w:sz w:val="24"/>
          <w:szCs w:val="24"/>
        </w:rPr>
        <w:t>иком в пределах административной границы субъекта, не менее чем с 10:00 до 21:00 не менее 6 (шести) дней в неделю, по предварительной записи по телефону, предоставленному Заказчику не позднее 1 (одного) рабочего дня с даты заключения контракта. Доставка ос</w:t>
      </w:r>
      <w:r>
        <w:rPr>
          <w:sz w:val="24"/>
          <w:szCs w:val="24"/>
        </w:rPr>
        <w:t>уществляется за счет средств Поставщика.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Поставщик обязан информировать Заказчика о невозможности доставки Товара Получателю не позднее дня, следующего за днем доставки, согласованным с Получателем.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6.3. Поставка Товара Получателям не должна превышать 30 к</w:t>
      </w:r>
      <w:r>
        <w:rPr>
          <w:sz w:val="24"/>
          <w:szCs w:val="24"/>
        </w:rPr>
        <w:t>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6.4. С целью подтверждения соответствия Товара по количеству,</w:t>
      </w:r>
      <w:r>
        <w:rPr>
          <w:sz w:val="24"/>
          <w:szCs w:val="24"/>
        </w:rPr>
        <w:t xml:space="preserve"> комплектности, ассортименту и качеству требованиям, Заказчик по своему усмотрению производит сплошную и/или выборочную проверку Товара и соответствия пункта (пунктов) приема </w:t>
      </w:r>
      <w:r>
        <w:rPr>
          <w:sz w:val="24"/>
          <w:szCs w:val="24"/>
        </w:rPr>
        <w:lastRenderedPageBreak/>
        <w:t>требованиям, установленным технического задания. При проведении проверки Заказчик</w:t>
      </w:r>
      <w:r>
        <w:rPr>
          <w:sz w:val="24"/>
          <w:szCs w:val="24"/>
        </w:rPr>
        <w:t xml:space="preserve"> вправе осуществлять фотофиксацию и/или видеозапись.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6.5. В случаях отказа от Товара Получателя, Поставщик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</w:t>
      </w:r>
      <w:r>
        <w:rPr>
          <w:sz w:val="24"/>
          <w:szCs w:val="24"/>
        </w:rPr>
        <w:t>ьмом с приложением и в электронном виде по адресу osp@ro78.fss.ru, tsrfil31@ro78.fss.ru.</w:t>
      </w:r>
    </w:p>
    <w:p w:rsidR="003B503C" w:rsidRDefault="003F6D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7. При проведении экспертизы Товара на соответствие их условиям технического задания, Поставщик должен предоставить необходимое для проведении экспертизы количество То</w:t>
      </w:r>
      <w:r>
        <w:rPr>
          <w:sz w:val="24"/>
          <w:szCs w:val="24"/>
        </w:rPr>
        <w:t>вара. При этом предоставленное для экспертизы количество Товара не входит в общий объем Товара, предусмотренный техническим заданием.</w:t>
      </w:r>
    </w:p>
    <w:p w:rsidR="003B503C" w:rsidRDefault="003B503C">
      <w:pPr>
        <w:tabs>
          <w:tab w:val="center" w:pos="4677"/>
        </w:tabs>
        <w:jc w:val="both"/>
        <w:rPr>
          <w:sz w:val="24"/>
          <w:szCs w:val="24"/>
        </w:rPr>
      </w:pPr>
    </w:p>
    <w:p w:rsidR="003B503C" w:rsidRDefault="003B503C">
      <w:pPr>
        <w:pStyle w:val="Web"/>
        <w:snapToGrid w:val="0"/>
        <w:spacing w:before="0" w:after="0"/>
        <w:ind w:right="-853"/>
        <w:rPr>
          <w:rFonts w:ascii="Times New Roman" w:hAnsi="Times New Roman" w:cs="Times New Roman"/>
          <w:b/>
        </w:rPr>
      </w:pPr>
    </w:p>
    <w:p w:rsidR="003B503C" w:rsidRDefault="003B503C">
      <w:pPr>
        <w:pStyle w:val="Web"/>
        <w:snapToGrid w:val="0"/>
        <w:spacing w:before="0" w:after="0"/>
        <w:ind w:right="-1"/>
        <w:jc w:val="center"/>
        <w:rPr>
          <w:rFonts w:ascii="Times New Roman" w:hAnsi="Times New Roman" w:cs="Times New Roman"/>
          <w:b/>
        </w:rPr>
      </w:pPr>
    </w:p>
    <w:sectPr w:rsidR="003B503C">
      <w:pgSz w:w="11906" w:h="16838"/>
      <w:pgMar w:top="993" w:right="991" w:bottom="85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C03"/>
    <w:multiLevelType w:val="hybridMultilevel"/>
    <w:tmpl w:val="DC5C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6DBB"/>
    <w:multiLevelType w:val="hybridMultilevel"/>
    <w:tmpl w:val="55504B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C"/>
    <w:rsid w:val="003B503C"/>
    <w:rsid w:val="003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C3F31-CB02-43EF-AF99-61D338E6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Егорченкова Екатерина Олеговна</dc:creator>
  <cp:keywords/>
  <dc:description/>
  <cp:lastModifiedBy>Горбунова Нина Александровна</cp:lastModifiedBy>
  <cp:revision>17</cp:revision>
  <cp:lastPrinted>2024-02-22T08:19:00Z</cp:lastPrinted>
  <dcterms:created xsi:type="dcterms:W3CDTF">2024-02-19T10:55:00Z</dcterms:created>
  <dcterms:modified xsi:type="dcterms:W3CDTF">2024-03-12T13:12:00Z</dcterms:modified>
</cp:coreProperties>
</file>