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Pr="009B63B2" w:rsidRDefault="00D7115C" w:rsidP="00D7115C">
      <w:pPr>
        <w:jc w:val="center"/>
        <w:rPr>
          <w:b/>
        </w:rPr>
      </w:pPr>
      <w:r w:rsidRPr="009B63B2">
        <w:rPr>
          <w:b/>
          <w:bCs/>
        </w:rPr>
        <w:t xml:space="preserve">Ш. </w:t>
      </w:r>
      <w:r w:rsidRPr="009B63B2">
        <w:rPr>
          <w:b/>
        </w:rPr>
        <w:t>ОПИСАНИЕ ОБЪЕКТА ЗАКУПКИ</w:t>
      </w:r>
    </w:p>
    <w:p w:rsidR="00E35808" w:rsidRPr="009B63B2" w:rsidRDefault="00E35808" w:rsidP="009226AD">
      <w:pPr>
        <w:jc w:val="both"/>
        <w:rPr>
          <w:b/>
        </w:rPr>
      </w:pPr>
    </w:p>
    <w:p w:rsidR="009226AD" w:rsidRPr="00632245"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С даты получения от Заказчика реестра получателей Товара по «</w:t>
      </w:r>
      <w:r w:rsidR="00450CFE" w:rsidRPr="00632245">
        <w:rPr>
          <w:rFonts w:eastAsia="Andale Sans UI"/>
          <w:kern w:val="1"/>
          <w:lang w:eastAsia="ar-SA"/>
        </w:rPr>
        <w:t>30</w:t>
      </w:r>
      <w:r w:rsidR="00427C62" w:rsidRPr="00632245">
        <w:rPr>
          <w:rFonts w:eastAsia="Andale Sans UI"/>
          <w:kern w:val="1"/>
          <w:lang w:eastAsia="ar-SA"/>
        </w:rPr>
        <w:t xml:space="preserve">» </w:t>
      </w:r>
      <w:r w:rsidR="00240B28">
        <w:rPr>
          <w:rFonts w:eastAsia="Andale Sans UI"/>
          <w:kern w:val="1"/>
          <w:lang w:eastAsia="ar-SA"/>
        </w:rPr>
        <w:t>сентября</w:t>
      </w:r>
      <w:r w:rsidR="00427C62" w:rsidRPr="00632245">
        <w:rPr>
          <w:rFonts w:eastAsia="Andale Sans UI"/>
          <w:kern w:val="1"/>
          <w:lang w:eastAsia="ar-SA"/>
        </w:rPr>
        <w:t xml:space="preserve"> 202</w:t>
      </w:r>
      <w:r w:rsidR="00240B28">
        <w:rPr>
          <w:rFonts w:eastAsia="Andale Sans UI"/>
          <w:kern w:val="1"/>
          <w:lang w:eastAsia="ar-SA"/>
        </w:rPr>
        <w:t>2</w:t>
      </w:r>
      <w:r w:rsidR="00427C62" w:rsidRPr="00632245">
        <w:rPr>
          <w:rFonts w:eastAsia="Andale Sans UI"/>
          <w:kern w:val="1"/>
          <w:lang w:eastAsia="ar-SA"/>
        </w:rPr>
        <w:t xml:space="preserve"> 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p w:rsidR="006E787B" w:rsidRPr="00997CCA" w:rsidRDefault="006E787B" w:rsidP="006E787B">
      <w:pPr>
        <w:tabs>
          <w:tab w:val="left" w:pos="708"/>
        </w:tabs>
        <w:autoSpaceDE w:val="0"/>
        <w:ind w:firstLine="709"/>
        <w:contextualSpacing/>
        <w:jc w:val="both"/>
        <w:rPr>
          <w:b/>
          <w:bCs/>
        </w:rPr>
      </w:pPr>
      <w:r w:rsidRPr="00997CCA">
        <w:rPr>
          <w:b/>
          <w:bCs/>
        </w:rPr>
        <w:t>Изделия должно соответствовать требованиям государственных стандартов, в том числе:</w:t>
      </w:r>
      <w:bookmarkStart w:id="0" w:name="_GoBack"/>
      <w:bookmarkEnd w:id="0"/>
    </w:p>
    <w:p w:rsidR="006E787B" w:rsidRPr="00997CCA" w:rsidRDefault="006E787B" w:rsidP="006E787B">
      <w:pPr>
        <w:tabs>
          <w:tab w:val="left" w:pos="708"/>
        </w:tabs>
        <w:autoSpaceDE w:val="0"/>
        <w:ind w:firstLine="709"/>
        <w:contextualSpacing/>
        <w:jc w:val="both"/>
        <w:rPr>
          <w:bCs/>
        </w:rPr>
      </w:pPr>
      <w:r w:rsidRPr="00997CCA">
        <w:rPr>
          <w:bCs/>
        </w:rPr>
        <w:t>-</w:t>
      </w:r>
      <w:r w:rsidRPr="00997CCA">
        <w:rPr>
          <w:bCs/>
        </w:rPr>
        <w:tab/>
        <w:t>ГОСТ Р 55082-2012 «Изделия бумажные медицинского назначения. Подгузники для взрослых. Общие технические условия».</w:t>
      </w:r>
    </w:p>
    <w:p w:rsidR="006E787B" w:rsidRPr="00997CCA" w:rsidRDefault="006E787B" w:rsidP="006E787B">
      <w:pPr>
        <w:tabs>
          <w:tab w:val="left" w:pos="708"/>
        </w:tabs>
        <w:autoSpaceDE w:val="0"/>
        <w:ind w:firstLine="709"/>
        <w:contextualSpacing/>
        <w:jc w:val="both"/>
        <w:rPr>
          <w:bCs/>
        </w:rPr>
      </w:pPr>
      <w:r w:rsidRPr="00997CCA">
        <w:rPr>
          <w:bCs/>
        </w:rPr>
        <w:t>Показатели, обеспечивающие функциональное назначение подгузников, должны соответствовать требованиям, указанным в таблице 2.</w:t>
      </w:r>
    </w:p>
    <w:p w:rsidR="006E787B" w:rsidRDefault="006E787B" w:rsidP="006E787B">
      <w:pPr>
        <w:tabs>
          <w:tab w:val="left" w:pos="708"/>
        </w:tabs>
        <w:autoSpaceDE w:val="0"/>
        <w:ind w:firstLine="709"/>
        <w:jc w:val="both"/>
        <w:rPr>
          <w:bCs/>
        </w:rPr>
      </w:pPr>
      <w:r w:rsidRPr="00997CCA">
        <w:rPr>
          <w:bCs/>
        </w:rPr>
        <w:t>Таблица 2.</w:t>
      </w:r>
    </w:p>
    <w:tbl>
      <w:tblPr>
        <w:tblStyle w:val="ae"/>
        <w:tblW w:w="5000" w:type="pct"/>
        <w:tblLook w:val="04A0" w:firstRow="1" w:lastRow="0" w:firstColumn="1" w:lastColumn="0" w:noHBand="0" w:noVBand="1"/>
      </w:tblPr>
      <w:tblGrid>
        <w:gridCol w:w="3176"/>
        <w:gridCol w:w="3324"/>
        <w:gridCol w:w="3695"/>
      </w:tblGrid>
      <w:tr w:rsidR="002C1277" w:rsidTr="002C1277">
        <w:tc>
          <w:tcPr>
            <w:tcW w:w="1558" w:type="pct"/>
            <w:vMerge w:val="restart"/>
          </w:tcPr>
          <w:p w:rsidR="002C1277" w:rsidRPr="00CE66D6" w:rsidRDefault="002C1277" w:rsidP="001F1CCA">
            <w:pPr>
              <w:tabs>
                <w:tab w:val="left" w:pos="708"/>
              </w:tabs>
              <w:autoSpaceDE w:val="0"/>
              <w:contextualSpacing/>
              <w:jc w:val="both"/>
              <w:rPr>
                <w:bCs/>
                <w:sz w:val="16"/>
                <w:szCs w:val="16"/>
              </w:rPr>
            </w:pPr>
            <w:r w:rsidRPr="00CE66D6">
              <w:rPr>
                <w:bCs/>
                <w:sz w:val="16"/>
                <w:szCs w:val="16"/>
              </w:rPr>
              <w:t>Наименование показателя</w:t>
            </w:r>
          </w:p>
        </w:tc>
        <w:tc>
          <w:tcPr>
            <w:tcW w:w="3442" w:type="pct"/>
            <w:gridSpan w:val="2"/>
          </w:tcPr>
          <w:p w:rsidR="002C1277" w:rsidRPr="00CE66D6" w:rsidRDefault="002C1277" w:rsidP="001F1CCA">
            <w:pPr>
              <w:tabs>
                <w:tab w:val="left" w:pos="708"/>
              </w:tabs>
              <w:autoSpaceDE w:val="0"/>
              <w:contextualSpacing/>
              <w:jc w:val="center"/>
              <w:rPr>
                <w:bCs/>
                <w:sz w:val="16"/>
                <w:szCs w:val="16"/>
              </w:rPr>
            </w:pPr>
            <w:r>
              <w:rPr>
                <w:bCs/>
                <w:sz w:val="16"/>
                <w:szCs w:val="16"/>
              </w:rPr>
              <w:t>Значение показателя для подгузников видов и групп</w:t>
            </w:r>
          </w:p>
        </w:tc>
      </w:tr>
      <w:tr w:rsidR="002C1277" w:rsidTr="002C1277">
        <w:tc>
          <w:tcPr>
            <w:tcW w:w="1558" w:type="pct"/>
            <w:vMerge/>
          </w:tcPr>
          <w:p w:rsidR="002C1277" w:rsidRPr="00CE66D6" w:rsidRDefault="002C1277" w:rsidP="001F1CCA">
            <w:pPr>
              <w:tabs>
                <w:tab w:val="left" w:pos="708"/>
              </w:tabs>
              <w:autoSpaceDE w:val="0"/>
              <w:contextualSpacing/>
              <w:jc w:val="both"/>
              <w:rPr>
                <w:bCs/>
                <w:sz w:val="16"/>
                <w:szCs w:val="16"/>
              </w:rPr>
            </w:pPr>
          </w:p>
        </w:tc>
        <w:tc>
          <w:tcPr>
            <w:tcW w:w="1630" w:type="pct"/>
          </w:tcPr>
          <w:p w:rsidR="002C1277" w:rsidRDefault="002C1277" w:rsidP="001F1CCA">
            <w:pPr>
              <w:tabs>
                <w:tab w:val="left" w:pos="708"/>
              </w:tabs>
              <w:autoSpaceDE w:val="0"/>
              <w:contextualSpacing/>
              <w:jc w:val="center"/>
              <w:rPr>
                <w:bCs/>
                <w:sz w:val="16"/>
                <w:szCs w:val="16"/>
              </w:rPr>
            </w:pPr>
            <w:r>
              <w:rPr>
                <w:bCs/>
                <w:sz w:val="16"/>
                <w:szCs w:val="16"/>
              </w:rPr>
              <w:t>Для средней степени недержания</w:t>
            </w:r>
          </w:p>
        </w:tc>
        <w:tc>
          <w:tcPr>
            <w:tcW w:w="1812" w:type="pct"/>
          </w:tcPr>
          <w:p w:rsidR="002C1277" w:rsidRPr="00CE66D6" w:rsidRDefault="002C1277" w:rsidP="001F1CCA">
            <w:pPr>
              <w:tabs>
                <w:tab w:val="left" w:pos="708"/>
              </w:tabs>
              <w:autoSpaceDE w:val="0"/>
              <w:contextualSpacing/>
              <w:jc w:val="center"/>
              <w:rPr>
                <w:bCs/>
                <w:sz w:val="16"/>
                <w:szCs w:val="16"/>
              </w:rPr>
            </w:pPr>
            <w:r>
              <w:rPr>
                <w:bCs/>
                <w:sz w:val="16"/>
                <w:szCs w:val="16"/>
              </w:rPr>
              <w:t>Для тяжелой степени недержания</w:t>
            </w:r>
          </w:p>
        </w:tc>
      </w:tr>
      <w:tr w:rsidR="002C1277" w:rsidTr="002C1277">
        <w:tc>
          <w:tcPr>
            <w:tcW w:w="1558" w:type="pct"/>
            <w:vMerge/>
          </w:tcPr>
          <w:p w:rsidR="002C1277" w:rsidRPr="00CE66D6" w:rsidRDefault="002C1277" w:rsidP="001F1CCA">
            <w:pPr>
              <w:tabs>
                <w:tab w:val="left" w:pos="708"/>
              </w:tabs>
              <w:autoSpaceDE w:val="0"/>
              <w:contextualSpacing/>
              <w:jc w:val="both"/>
              <w:rPr>
                <w:bCs/>
                <w:sz w:val="16"/>
                <w:szCs w:val="16"/>
              </w:rPr>
            </w:pPr>
          </w:p>
        </w:tc>
        <w:tc>
          <w:tcPr>
            <w:tcW w:w="1630" w:type="pct"/>
          </w:tcPr>
          <w:p w:rsidR="002C1277" w:rsidRPr="00CE66D6" w:rsidRDefault="002C1277" w:rsidP="001F1CCA">
            <w:pPr>
              <w:tabs>
                <w:tab w:val="left" w:pos="708"/>
              </w:tabs>
              <w:autoSpaceDE w:val="0"/>
              <w:contextualSpacing/>
              <w:jc w:val="center"/>
              <w:rPr>
                <w:bCs/>
                <w:sz w:val="16"/>
                <w:szCs w:val="16"/>
              </w:rPr>
            </w:pPr>
            <w:r>
              <w:rPr>
                <w:bCs/>
                <w:sz w:val="16"/>
                <w:szCs w:val="16"/>
              </w:rPr>
              <w:t>Сверхмалые, малые</w:t>
            </w:r>
          </w:p>
        </w:tc>
        <w:tc>
          <w:tcPr>
            <w:tcW w:w="1812" w:type="pct"/>
          </w:tcPr>
          <w:p w:rsidR="002C1277" w:rsidRPr="00CE66D6" w:rsidRDefault="002C1277" w:rsidP="001F1CCA">
            <w:pPr>
              <w:tabs>
                <w:tab w:val="left" w:pos="708"/>
              </w:tabs>
              <w:autoSpaceDE w:val="0"/>
              <w:contextualSpacing/>
              <w:jc w:val="center"/>
              <w:rPr>
                <w:bCs/>
                <w:sz w:val="16"/>
                <w:szCs w:val="16"/>
              </w:rPr>
            </w:pPr>
            <w:r>
              <w:rPr>
                <w:bCs/>
                <w:sz w:val="16"/>
                <w:szCs w:val="16"/>
              </w:rPr>
              <w:t>Сверхмалые</w:t>
            </w:r>
          </w:p>
        </w:tc>
      </w:tr>
      <w:tr w:rsidR="002C1277" w:rsidTr="002C1277">
        <w:tc>
          <w:tcPr>
            <w:tcW w:w="1558" w:type="pct"/>
          </w:tcPr>
          <w:p w:rsidR="002C1277" w:rsidRPr="00CE66D6" w:rsidRDefault="002C1277" w:rsidP="001F1CCA">
            <w:pPr>
              <w:tabs>
                <w:tab w:val="left" w:pos="708"/>
              </w:tabs>
              <w:autoSpaceDE w:val="0"/>
              <w:contextualSpacing/>
              <w:jc w:val="both"/>
              <w:rPr>
                <w:bCs/>
                <w:sz w:val="16"/>
                <w:szCs w:val="16"/>
              </w:rPr>
            </w:pPr>
            <w:r>
              <w:rPr>
                <w:bCs/>
                <w:sz w:val="16"/>
                <w:szCs w:val="16"/>
              </w:rPr>
              <w:t>1. Полное влагопоглощение, г не менее</w:t>
            </w:r>
          </w:p>
        </w:tc>
        <w:tc>
          <w:tcPr>
            <w:tcW w:w="1630" w:type="pct"/>
          </w:tcPr>
          <w:p w:rsidR="002C1277" w:rsidRPr="00CE66D6" w:rsidRDefault="002C1277" w:rsidP="001F1CCA">
            <w:pPr>
              <w:tabs>
                <w:tab w:val="left" w:pos="708"/>
              </w:tabs>
              <w:autoSpaceDE w:val="0"/>
              <w:contextualSpacing/>
              <w:jc w:val="center"/>
              <w:rPr>
                <w:bCs/>
                <w:sz w:val="16"/>
                <w:szCs w:val="16"/>
              </w:rPr>
            </w:pPr>
            <w:r>
              <w:rPr>
                <w:bCs/>
                <w:sz w:val="16"/>
                <w:szCs w:val="16"/>
              </w:rPr>
              <w:t>1000</w:t>
            </w:r>
          </w:p>
        </w:tc>
        <w:tc>
          <w:tcPr>
            <w:tcW w:w="1812" w:type="pct"/>
          </w:tcPr>
          <w:p w:rsidR="002C1277" w:rsidRPr="00CE66D6" w:rsidRDefault="002C1277" w:rsidP="001F1CCA">
            <w:pPr>
              <w:tabs>
                <w:tab w:val="left" w:pos="708"/>
              </w:tabs>
              <w:autoSpaceDE w:val="0"/>
              <w:contextualSpacing/>
              <w:jc w:val="center"/>
              <w:rPr>
                <w:bCs/>
                <w:sz w:val="16"/>
                <w:szCs w:val="16"/>
              </w:rPr>
            </w:pPr>
            <w:r>
              <w:rPr>
                <w:bCs/>
                <w:sz w:val="16"/>
                <w:szCs w:val="16"/>
              </w:rPr>
              <w:t>1200</w:t>
            </w:r>
          </w:p>
        </w:tc>
      </w:tr>
      <w:tr w:rsidR="002C1277" w:rsidTr="002C1277">
        <w:tc>
          <w:tcPr>
            <w:tcW w:w="1558" w:type="pct"/>
          </w:tcPr>
          <w:p w:rsidR="002C1277" w:rsidRPr="00CE66D6" w:rsidRDefault="002C1277" w:rsidP="001F1CCA">
            <w:pPr>
              <w:tabs>
                <w:tab w:val="left" w:pos="708"/>
              </w:tabs>
              <w:autoSpaceDE w:val="0"/>
              <w:contextualSpacing/>
              <w:jc w:val="both"/>
              <w:rPr>
                <w:bCs/>
                <w:sz w:val="16"/>
                <w:szCs w:val="16"/>
              </w:rPr>
            </w:pPr>
            <w:r>
              <w:rPr>
                <w:bCs/>
                <w:sz w:val="16"/>
                <w:szCs w:val="16"/>
              </w:rPr>
              <w:t>3.Обратная сорбция, г, не более</w:t>
            </w:r>
          </w:p>
        </w:tc>
        <w:tc>
          <w:tcPr>
            <w:tcW w:w="3442" w:type="pct"/>
            <w:gridSpan w:val="2"/>
          </w:tcPr>
          <w:p w:rsidR="002C1277" w:rsidRPr="00CE66D6" w:rsidRDefault="002C1277" w:rsidP="001F1CCA">
            <w:pPr>
              <w:tabs>
                <w:tab w:val="left" w:pos="708"/>
              </w:tabs>
              <w:autoSpaceDE w:val="0"/>
              <w:contextualSpacing/>
              <w:jc w:val="center"/>
              <w:rPr>
                <w:bCs/>
                <w:sz w:val="16"/>
                <w:szCs w:val="16"/>
              </w:rPr>
            </w:pPr>
            <w:r>
              <w:rPr>
                <w:bCs/>
                <w:sz w:val="16"/>
                <w:szCs w:val="16"/>
              </w:rPr>
              <w:t>4,4</w:t>
            </w:r>
          </w:p>
        </w:tc>
      </w:tr>
      <w:tr w:rsidR="002C1277" w:rsidTr="002C1277">
        <w:trPr>
          <w:trHeight w:val="141"/>
        </w:trPr>
        <w:tc>
          <w:tcPr>
            <w:tcW w:w="1558" w:type="pct"/>
          </w:tcPr>
          <w:p w:rsidR="002C1277" w:rsidRPr="00CE66D6" w:rsidRDefault="002C1277" w:rsidP="001F1CCA">
            <w:pPr>
              <w:tabs>
                <w:tab w:val="left" w:pos="708"/>
              </w:tabs>
              <w:autoSpaceDE w:val="0"/>
              <w:contextualSpacing/>
              <w:jc w:val="both"/>
              <w:rPr>
                <w:bCs/>
                <w:sz w:val="16"/>
                <w:szCs w:val="16"/>
              </w:rPr>
            </w:pPr>
            <w:r>
              <w:rPr>
                <w:bCs/>
                <w:sz w:val="16"/>
                <w:szCs w:val="16"/>
              </w:rPr>
              <w:t>4. Скорость впитывания, см/с не менее</w:t>
            </w:r>
          </w:p>
        </w:tc>
        <w:tc>
          <w:tcPr>
            <w:tcW w:w="3442" w:type="pct"/>
            <w:gridSpan w:val="2"/>
          </w:tcPr>
          <w:p w:rsidR="002C1277" w:rsidRPr="00CE66D6" w:rsidRDefault="002C1277" w:rsidP="001F1CCA">
            <w:pPr>
              <w:tabs>
                <w:tab w:val="left" w:pos="708"/>
              </w:tabs>
              <w:autoSpaceDE w:val="0"/>
              <w:contextualSpacing/>
              <w:jc w:val="center"/>
              <w:rPr>
                <w:bCs/>
                <w:sz w:val="16"/>
                <w:szCs w:val="16"/>
              </w:rPr>
            </w:pPr>
            <w:r>
              <w:rPr>
                <w:bCs/>
                <w:sz w:val="16"/>
                <w:szCs w:val="16"/>
              </w:rPr>
              <w:t>2,3</w:t>
            </w:r>
          </w:p>
        </w:tc>
      </w:tr>
    </w:tbl>
    <w:p w:rsidR="002C1277" w:rsidRPr="00997CCA" w:rsidRDefault="002C1277" w:rsidP="006E787B">
      <w:pPr>
        <w:tabs>
          <w:tab w:val="left" w:pos="708"/>
        </w:tabs>
        <w:autoSpaceDE w:val="0"/>
        <w:ind w:firstLine="709"/>
        <w:jc w:val="both"/>
        <w:rPr>
          <w:bCs/>
        </w:rPr>
      </w:pPr>
    </w:p>
    <w:p w:rsidR="006E787B" w:rsidRDefault="006E787B" w:rsidP="006E787B">
      <w:pPr>
        <w:widowControl w:val="0"/>
        <w:tabs>
          <w:tab w:val="left" w:pos="708"/>
        </w:tabs>
        <w:suppressAutoHyphens/>
        <w:autoSpaceDE w:val="0"/>
        <w:autoSpaceDN w:val="0"/>
        <w:ind w:firstLine="709"/>
        <w:jc w:val="right"/>
        <w:textAlignment w:val="baseline"/>
        <w:rPr>
          <w:rFonts w:eastAsia="Lucida Sans Unicode"/>
          <w:b/>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848"/>
        <w:gridCol w:w="2178"/>
        <w:gridCol w:w="1643"/>
        <w:gridCol w:w="708"/>
        <w:gridCol w:w="867"/>
      </w:tblGrid>
      <w:tr w:rsidR="002C1277" w:rsidRPr="002C1277" w:rsidTr="002C1277">
        <w:trPr>
          <w:trHeight w:val="197"/>
        </w:trPr>
        <w:tc>
          <w:tcPr>
            <w:tcW w:w="238" w:type="pct"/>
            <w:vMerge w:val="restart"/>
            <w:vAlign w:val="center"/>
          </w:tcPr>
          <w:p w:rsidR="002C1277" w:rsidRPr="002C1277" w:rsidRDefault="002C1277" w:rsidP="001F1CCA">
            <w:pPr>
              <w:jc w:val="center"/>
              <w:rPr>
                <w:sz w:val="20"/>
                <w:szCs w:val="20"/>
              </w:rPr>
            </w:pPr>
            <w:r w:rsidRPr="002C1277">
              <w:rPr>
                <w:sz w:val="20"/>
                <w:szCs w:val="20"/>
              </w:rPr>
              <w:t>№</w:t>
            </w:r>
          </w:p>
          <w:p w:rsidR="002C1277" w:rsidRPr="002C1277" w:rsidRDefault="002C1277" w:rsidP="001F1CCA">
            <w:pPr>
              <w:jc w:val="center"/>
              <w:rPr>
                <w:sz w:val="20"/>
                <w:szCs w:val="20"/>
              </w:rPr>
            </w:pPr>
            <w:r w:rsidRPr="002C1277">
              <w:rPr>
                <w:sz w:val="20"/>
                <w:szCs w:val="20"/>
              </w:rPr>
              <w:t>п/п</w:t>
            </w:r>
          </w:p>
        </w:tc>
        <w:tc>
          <w:tcPr>
            <w:tcW w:w="718" w:type="pct"/>
            <w:vMerge w:val="restart"/>
            <w:vAlign w:val="center"/>
          </w:tcPr>
          <w:p w:rsidR="002C1277" w:rsidRPr="002C1277" w:rsidRDefault="002C1277" w:rsidP="001F1CCA">
            <w:pPr>
              <w:jc w:val="center"/>
              <w:rPr>
                <w:sz w:val="20"/>
                <w:szCs w:val="20"/>
              </w:rPr>
            </w:pPr>
            <w:r w:rsidRPr="002C1277">
              <w:rPr>
                <w:sz w:val="20"/>
                <w:szCs w:val="20"/>
              </w:rPr>
              <w:t xml:space="preserve">Наименование </w:t>
            </w:r>
          </w:p>
        </w:tc>
        <w:tc>
          <w:tcPr>
            <w:tcW w:w="3271" w:type="pct"/>
            <w:gridSpan w:val="3"/>
            <w:vAlign w:val="center"/>
          </w:tcPr>
          <w:p w:rsidR="002C1277" w:rsidRPr="002C1277" w:rsidRDefault="002C1277" w:rsidP="001F1CCA">
            <w:pPr>
              <w:jc w:val="center"/>
              <w:rPr>
                <w:sz w:val="20"/>
                <w:szCs w:val="20"/>
              </w:rPr>
            </w:pPr>
            <w:r w:rsidRPr="002C1277">
              <w:rPr>
                <w:sz w:val="20"/>
                <w:szCs w:val="20"/>
              </w:rPr>
              <w:t>Описание (характеристики) объекта закупки Описание (характеристики) объекта закупки</w:t>
            </w:r>
            <w:r w:rsidRPr="002C1277">
              <w:rPr>
                <w:sz w:val="20"/>
                <w:szCs w:val="20"/>
                <w:vertAlign w:val="superscript"/>
              </w:rPr>
              <w:footnoteReference w:id="1"/>
            </w:r>
          </w:p>
        </w:tc>
        <w:tc>
          <w:tcPr>
            <w:tcW w:w="347" w:type="pct"/>
            <w:vMerge w:val="restart"/>
            <w:vAlign w:val="center"/>
          </w:tcPr>
          <w:p w:rsidR="002C1277" w:rsidRPr="002C1277" w:rsidRDefault="002C1277" w:rsidP="001F1CCA">
            <w:pPr>
              <w:widowControl w:val="0"/>
              <w:autoSpaceDE w:val="0"/>
              <w:autoSpaceDN w:val="0"/>
              <w:adjustRightInd w:val="0"/>
              <w:jc w:val="center"/>
              <w:rPr>
                <w:sz w:val="20"/>
                <w:szCs w:val="20"/>
              </w:rPr>
            </w:pPr>
            <w:r w:rsidRPr="002C1277">
              <w:rPr>
                <w:sz w:val="20"/>
                <w:szCs w:val="20"/>
              </w:rPr>
              <w:t>Ед. изм.</w:t>
            </w:r>
          </w:p>
        </w:tc>
        <w:tc>
          <w:tcPr>
            <w:tcW w:w="425" w:type="pct"/>
            <w:vMerge w:val="restart"/>
            <w:vAlign w:val="center"/>
          </w:tcPr>
          <w:p w:rsidR="002C1277" w:rsidRPr="002C1277" w:rsidRDefault="002C1277" w:rsidP="001F1CCA">
            <w:pPr>
              <w:jc w:val="center"/>
              <w:rPr>
                <w:sz w:val="20"/>
                <w:szCs w:val="20"/>
              </w:rPr>
            </w:pPr>
            <w:r w:rsidRPr="002C1277">
              <w:rPr>
                <w:sz w:val="20"/>
                <w:szCs w:val="20"/>
              </w:rPr>
              <w:t>Кол-во</w:t>
            </w:r>
          </w:p>
        </w:tc>
      </w:tr>
      <w:tr w:rsidR="002C1277" w:rsidRPr="002C1277" w:rsidTr="002C1277">
        <w:trPr>
          <w:cantSplit/>
          <w:trHeight w:val="1479"/>
        </w:trPr>
        <w:tc>
          <w:tcPr>
            <w:tcW w:w="238" w:type="pct"/>
            <w:vMerge/>
            <w:vAlign w:val="center"/>
          </w:tcPr>
          <w:p w:rsidR="002C1277" w:rsidRPr="002C1277" w:rsidRDefault="002C1277" w:rsidP="001F1CCA">
            <w:pPr>
              <w:jc w:val="center"/>
              <w:rPr>
                <w:sz w:val="20"/>
                <w:szCs w:val="20"/>
              </w:rPr>
            </w:pPr>
          </w:p>
        </w:tc>
        <w:tc>
          <w:tcPr>
            <w:tcW w:w="718" w:type="pct"/>
            <w:vMerge/>
            <w:vAlign w:val="center"/>
          </w:tcPr>
          <w:p w:rsidR="002C1277" w:rsidRPr="002C1277" w:rsidRDefault="002C1277" w:rsidP="001F1CCA">
            <w:pPr>
              <w:jc w:val="center"/>
              <w:rPr>
                <w:sz w:val="20"/>
                <w:szCs w:val="20"/>
              </w:rPr>
            </w:pPr>
          </w:p>
        </w:tc>
        <w:tc>
          <w:tcPr>
            <w:tcW w:w="1397" w:type="pct"/>
            <w:vAlign w:val="center"/>
          </w:tcPr>
          <w:p w:rsidR="002C1277" w:rsidRPr="002C1277" w:rsidRDefault="002C1277" w:rsidP="001F1CCA">
            <w:pPr>
              <w:spacing w:line="256" w:lineRule="auto"/>
              <w:jc w:val="center"/>
              <w:rPr>
                <w:sz w:val="20"/>
                <w:szCs w:val="20"/>
                <w:lang w:eastAsia="en-US"/>
              </w:rPr>
            </w:pPr>
            <w:r w:rsidRPr="002C1277">
              <w:rPr>
                <w:sz w:val="20"/>
                <w:szCs w:val="20"/>
                <w:lang w:eastAsia="en-US"/>
              </w:rPr>
              <w:t>Наименование показателя</w:t>
            </w:r>
            <w:r w:rsidRPr="002C1277">
              <w:rPr>
                <w:sz w:val="20"/>
                <w:szCs w:val="20"/>
                <w:vertAlign w:val="superscript"/>
                <w:lang w:eastAsia="en-US"/>
              </w:rPr>
              <w:footnoteReference w:id="2"/>
            </w:r>
          </w:p>
          <w:p w:rsidR="002C1277" w:rsidRPr="002C1277" w:rsidRDefault="002C1277" w:rsidP="001F1CCA">
            <w:pPr>
              <w:spacing w:line="256" w:lineRule="auto"/>
              <w:jc w:val="center"/>
              <w:rPr>
                <w:color w:val="FF0000"/>
                <w:sz w:val="20"/>
                <w:szCs w:val="20"/>
                <w:lang w:eastAsia="en-US"/>
              </w:rPr>
            </w:pPr>
            <w:r w:rsidRPr="002C1277">
              <w:rPr>
                <w:color w:val="FF0000"/>
                <w:sz w:val="20"/>
                <w:szCs w:val="20"/>
                <w:lang w:eastAsia="en-US"/>
              </w:rPr>
              <w:t>(неизменяемое)</w:t>
            </w:r>
          </w:p>
        </w:tc>
        <w:tc>
          <w:tcPr>
            <w:tcW w:w="1068" w:type="pct"/>
            <w:vAlign w:val="center"/>
          </w:tcPr>
          <w:p w:rsidR="002C1277" w:rsidRPr="002C1277" w:rsidRDefault="002C1277" w:rsidP="001F1CCA">
            <w:pPr>
              <w:autoSpaceDE w:val="0"/>
              <w:autoSpaceDN w:val="0"/>
              <w:adjustRightInd w:val="0"/>
              <w:spacing w:line="256" w:lineRule="auto"/>
              <w:jc w:val="center"/>
              <w:rPr>
                <w:sz w:val="20"/>
                <w:szCs w:val="20"/>
                <w:lang w:eastAsia="en-US"/>
              </w:rPr>
            </w:pPr>
            <w:r w:rsidRPr="002C1277">
              <w:rPr>
                <w:sz w:val="20"/>
                <w:szCs w:val="20"/>
                <w:lang w:eastAsia="en-US"/>
              </w:rPr>
              <w:t>Значения показателей,</w:t>
            </w:r>
          </w:p>
          <w:p w:rsidR="002C1277" w:rsidRPr="002C1277" w:rsidRDefault="002C1277" w:rsidP="001F1CCA">
            <w:pPr>
              <w:autoSpaceDE w:val="0"/>
              <w:autoSpaceDN w:val="0"/>
              <w:adjustRightInd w:val="0"/>
              <w:spacing w:line="256" w:lineRule="auto"/>
              <w:jc w:val="center"/>
              <w:rPr>
                <w:sz w:val="20"/>
                <w:szCs w:val="20"/>
                <w:lang w:eastAsia="en-US"/>
              </w:rPr>
            </w:pPr>
            <w:r w:rsidRPr="002C1277">
              <w:rPr>
                <w:sz w:val="20"/>
                <w:szCs w:val="20"/>
                <w:lang w:eastAsia="en-US"/>
              </w:rPr>
              <w:t xml:space="preserve"> которые не могут изменяться</w:t>
            </w:r>
            <w:r w:rsidRPr="002C1277">
              <w:rPr>
                <w:sz w:val="20"/>
                <w:szCs w:val="20"/>
                <w:vertAlign w:val="superscript"/>
                <w:lang w:eastAsia="en-US"/>
              </w:rPr>
              <w:footnoteReference w:id="3"/>
            </w:r>
          </w:p>
          <w:p w:rsidR="002C1277" w:rsidRPr="002C1277" w:rsidRDefault="002C1277" w:rsidP="001F1CCA">
            <w:pPr>
              <w:autoSpaceDE w:val="0"/>
              <w:autoSpaceDN w:val="0"/>
              <w:adjustRightInd w:val="0"/>
              <w:spacing w:line="256" w:lineRule="auto"/>
              <w:jc w:val="center"/>
              <w:rPr>
                <w:color w:val="FF0000"/>
                <w:sz w:val="20"/>
                <w:szCs w:val="20"/>
                <w:lang w:eastAsia="en-US"/>
              </w:rPr>
            </w:pPr>
            <w:r w:rsidRPr="002C1277">
              <w:rPr>
                <w:color w:val="FF0000"/>
                <w:sz w:val="20"/>
                <w:szCs w:val="20"/>
                <w:lang w:eastAsia="en-US"/>
              </w:rPr>
              <w:t>(неизменяемое)</w:t>
            </w:r>
          </w:p>
        </w:tc>
        <w:tc>
          <w:tcPr>
            <w:tcW w:w="806" w:type="pct"/>
            <w:vAlign w:val="center"/>
          </w:tcPr>
          <w:p w:rsidR="002C1277" w:rsidRPr="002C1277" w:rsidRDefault="002C1277" w:rsidP="001F1CCA">
            <w:pPr>
              <w:autoSpaceDE w:val="0"/>
              <w:autoSpaceDN w:val="0"/>
              <w:adjustRightInd w:val="0"/>
              <w:spacing w:line="256" w:lineRule="auto"/>
              <w:jc w:val="center"/>
              <w:rPr>
                <w:sz w:val="20"/>
                <w:szCs w:val="20"/>
                <w:lang w:eastAsia="en-US"/>
              </w:rPr>
            </w:pPr>
            <w:r w:rsidRPr="002C1277">
              <w:rPr>
                <w:sz w:val="20"/>
                <w:szCs w:val="20"/>
                <w:lang w:eastAsia="en-US"/>
              </w:rPr>
              <w:t>Изменяемое значение показателей (точное значение устанавливает участник закупки)</w:t>
            </w:r>
          </w:p>
        </w:tc>
        <w:tc>
          <w:tcPr>
            <w:tcW w:w="347" w:type="pct"/>
            <w:vMerge/>
          </w:tcPr>
          <w:p w:rsidR="002C1277" w:rsidRPr="002C1277" w:rsidRDefault="002C1277" w:rsidP="001F1CCA">
            <w:pPr>
              <w:jc w:val="center"/>
              <w:rPr>
                <w:sz w:val="20"/>
                <w:szCs w:val="20"/>
              </w:rPr>
            </w:pPr>
          </w:p>
        </w:tc>
        <w:tc>
          <w:tcPr>
            <w:tcW w:w="425" w:type="pct"/>
            <w:vMerge/>
          </w:tcPr>
          <w:p w:rsidR="002C1277" w:rsidRPr="002C1277" w:rsidRDefault="002C1277" w:rsidP="001F1CCA">
            <w:pPr>
              <w:jc w:val="center"/>
              <w:rPr>
                <w:sz w:val="20"/>
                <w:szCs w:val="20"/>
              </w:rPr>
            </w:pPr>
          </w:p>
        </w:tc>
      </w:tr>
      <w:tr w:rsidR="002C1277" w:rsidRPr="002C1277" w:rsidTr="002C1277">
        <w:trPr>
          <w:trHeight w:val="211"/>
        </w:trPr>
        <w:tc>
          <w:tcPr>
            <w:tcW w:w="238" w:type="pct"/>
            <w:vMerge w:val="restart"/>
          </w:tcPr>
          <w:p w:rsidR="002C1277" w:rsidRPr="002C1277" w:rsidRDefault="002C1277" w:rsidP="001F1CCA">
            <w:pPr>
              <w:jc w:val="center"/>
              <w:rPr>
                <w:sz w:val="20"/>
                <w:szCs w:val="20"/>
              </w:rPr>
            </w:pPr>
            <w:r w:rsidRPr="002C1277">
              <w:rPr>
                <w:sz w:val="20"/>
                <w:szCs w:val="20"/>
              </w:rPr>
              <w:t>1</w:t>
            </w:r>
          </w:p>
        </w:tc>
        <w:tc>
          <w:tcPr>
            <w:tcW w:w="718" w:type="pct"/>
            <w:vMerge w:val="restart"/>
          </w:tcPr>
          <w:p w:rsidR="002C1277" w:rsidRPr="002C1277" w:rsidRDefault="002C1277" w:rsidP="001F1CCA">
            <w:pPr>
              <w:jc w:val="center"/>
              <w:rPr>
                <w:sz w:val="20"/>
                <w:szCs w:val="20"/>
              </w:rPr>
            </w:pPr>
            <w:r w:rsidRPr="002C1277">
              <w:rPr>
                <w:sz w:val="20"/>
                <w:szCs w:val="20"/>
              </w:rPr>
              <w:t>Подгузники для взрослых размер Х</w:t>
            </w:r>
            <w:r w:rsidRPr="002C1277">
              <w:rPr>
                <w:sz w:val="20"/>
                <w:szCs w:val="20"/>
                <w:lang w:val="en-US"/>
              </w:rPr>
              <w:t>S</w:t>
            </w:r>
          </w:p>
        </w:tc>
        <w:tc>
          <w:tcPr>
            <w:tcW w:w="1397" w:type="pct"/>
          </w:tcPr>
          <w:p w:rsidR="002C1277" w:rsidRPr="002C1277" w:rsidRDefault="002C1277" w:rsidP="001F1CCA">
            <w:pPr>
              <w:tabs>
                <w:tab w:val="left" w:pos="708"/>
              </w:tabs>
              <w:suppressAutoHyphens/>
              <w:rPr>
                <w:sz w:val="20"/>
                <w:szCs w:val="20"/>
              </w:rPr>
            </w:pPr>
            <w:r w:rsidRPr="002C1277">
              <w:rPr>
                <w:sz w:val="20"/>
                <w:szCs w:val="20"/>
              </w:rPr>
              <w:t>обхват талии/бедер</w:t>
            </w:r>
          </w:p>
        </w:tc>
        <w:tc>
          <w:tcPr>
            <w:tcW w:w="1068" w:type="pct"/>
          </w:tcPr>
          <w:p w:rsidR="002C1277" w:rsidRPr="002C1277" w:rsidRDefault="002C1277" w:rsidP="001F1CCA">
            <w:pPr>
              <w:rPr>
                <w:sz w:val="20"/>
                <w:szCs w:val="20"/>
              </w:rPr>
            </w:pPr>
            <w:r w:rsidRPr="002C1277">
              <w:rPr>
                <w:sz w:val="20"/>
                <w:szCs w:val="20"/>
              </w:rPr>
              <w:t>до 60 см.</w:t>
            </w:r>
          </w:p>
        </w:tc>
        <w:tc>
          <w:tcPr>
            <w:tcW w:w="806" w:type="pct"/>
          </w:tcPr>
          <w:p w:rsidR="002C1277" w:rsidRPr="002C1277" w:rsidRDefault="002C1277" w:rsidP="001F1CCA">
            <w:pPr>
              <w:rPr>
                <w:sz w:val="20"/>
                <w:szCs w:val="20"/>
              </w:rPr>
            </w:pPr>
          </w:p>
        </w:tc>
        <w:tc>
          <w:tcPr>
            <w:tcW w:w="347" w:type="pct"/>
            <w:vMerge w:val="restart"/>
          </w:tcPr>
          <w:p w:rsidR="002C1277" w:rsidRPr="002C1277" w:rsidRDefault="002C1277" w:rsidP="001F1CCA">
            <w:pPr>
              <w:rPr>
                <w:sz w:val="20"/>
                <w:szCs w:val="20"/>
              </w:rPr>
            </w:pPr>
            <w:r w:rsidRPr="002C1277">
              <w:rPr>
                <w:sz w:val="20"/>
                <w:szCs w:val="20"/>
              </w:rPr>
              <w:t>Шт.</w:t>
            </w:r>
          </w:p>
        </w:tc>
        <w:tc>
          <w:tcPr>
            <w:tcW w:w="425" w:type="pct"/>
            <w:vMerge w:val="restart"/>
          </w:tcPr>
          <w:p w:rsidR="002C1277" w:rsidRPr="002C1277" w:rsidRDefault="002C1277" w:rsidP="001F1CCA">
            <w:pPr>
              <w:rPr>
                <w:sz w:val="20"/>
                <w:szCs w:val="20"/>
              </w:rPr>
            </w:pPr>
            <w:r w:rsidRPr="002C1277">
              <w:rPr>
                <w:sz w:val="20"/>
                <w:szCs w:val="20"/>
              </w:rPr>
              <w:t>32 400</w:t>
            </w: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Тип подгузника</w:t>
            </w:r>
          </w:p>
        </w:tc>
        <w:tc>
          <w:tcPr>
            <w:tcW w:w="1068" w:type="pct"/>
          </w:tcPr>
          <w:p w:rsidR="002C1277" w:rsidRPr="002C1277" w:rsidRDefault="002C1277" w:rsidP="001F1CCA">
            <w:pPr>
              <w:rPr>
                <w:sz w:val="20"/>
                <w:szCs w:val="20"/>
              </w:rPr>
            </w:pPr>
            <w:r w:rsidRPr="002C1277">
              <w:rPr>
                <w:sz w:val="20"/>
                <w:szCs w:val="20"/>
              </w:rPr>
              <w:t>закрытого типа,</w:t>
            </w:r>
            <w:r w:rsidRPr="002C1277">
              <w:rPr>
                <w:bCs/>
                <w:sz w:val="20"/>
                <w:szCs w:val="20"/>
              </w:rPr>
              <w:t xml:space="preserve"> одноразового пользования,</w:t>
            </w:r>
            <w:r w:rsidRPr="002C1277">
              <w:rPr>
                <w:sz w:val="20"/>
                <w:szCs w:val="20"/>
              </w:rPr>
              <w:t xml:space="preserve"> закрывает боковые поверхности бедер, крепится по бокам на многоразовые застёжки-липучки</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Вид подгузника в зависимости от количества впитываемой жидкости</w:t>
            </w:r>
          </w:p>
        </w:tc>
        <w:tc>
          <w:tcPr>
            <w:tcW w:w="1068" w:type="pct"/>
          </w:tcPr>
          <w:p w:rsidR="002C1277" w:rsidRPr="002C1277" w:rsidRDefault="002C1277" w:rsidP="001F1CCA">
            <w:pPr>
              <w:rPr>
                <w:sz w:val="20"/>
                <w:szCs w:val="20"/>
              </w:rPr>
            </w:pPr>
            <w:r w:rsidRPr="002C1277">
              <w:rPr>
                <w:sz w:val="20"/>
                <w:szCs w:val="20"/>
              </w:rPr>
              <w:t>для средней степени недержания</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Полное влагопоглощение, грамм</w:t>
            </w:r>
          </w:p>
        </w:tc>
        <w:tc>
          <w:tcPr>
            <w:tcW w:w="1068" w:type="pct"/>
          </w:tcPr>
          <w:p w:rsidR="002C1277" w:rsidRPr="002C1277" w:rsidRDefault="002C1277" w:rsidP="001F1CCA">
            <w:pPr>
              <w:rPr>
                <w:sz w:val="20"/>
                <w:szCs w:val="20"/>
              </w:rPr>
            </w:pPr>
          </w:p>
        </w:tc>
        <w:tc>
          <w:tcPr>
            <w:tcW w:w="806" w:type="pct"/>
          </w:tcPr>
          <w:p w:rsidR="002C1277" w:rsidRPr="002C1277" w:rsidRDefault="002C1277" w:rsidP="001F1CCA">
            <w:pPr>
              <w:rPr>
                <w:sz w:val="20"/>
                <w:szCs w:val="20"/>
              </w:rPr>
            </w:pPr>
            <w:r w:rsidRPr="002C1277">
              <w:rPr>
                <w:sz w:val="20"/>
                <w:szCs w:val="20"/>
              </w:rPr>
              <w:t xml:space="preserve">Не менее 1000 </w:t>
            </w: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bCs/>
                <w:sz w:val="20"/>
                <w:szCs w:val="20"/>
              </w:rPr>
            </w:pPr>
            <w:r w:rsidRPr="002C1277">
              <w:rPr>
                <w:sz w:val="20"/>
                <w:szCs w:val="20"/>
              </w:rPr>
              <w:t>Индикатор наполнение подгузника</w:t>
            </w:r>
          </w:p>
        </w:tc>
        <w:tc>
          <w:tcPr>
            <w:tcW w:w="1068" w:type="pct"/>
          </w:tcPr>
          <w:p w:rsidR="002C1277" w:rsidRPr="002C1277" w:rsidRDefault="002C1277" w:rsidP="001F1CCA">
            <w:pPr>
              <w:rPr>
                <w:sz w:val="20"/>
                <w:szCs w:val="20"/>
              </w:rPr>
            </w:pPr>
            <w:r w:rsidRPr="002C1277">
              <w:rPr>
                <w:sz w:val="20"/>
                <w:szCs w:val="20"/>
              </w:rPr>
              <w:t>наличие</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 xml:space="preserve">Материал внутренней поверхность (верхний покровный слой) подгузника </w:t>
            </w:r>
          </w:p>
        </w:tc>
        <w:tc>
          <w:tcPr>
            <w:tcW w:w="1068" w:type="pct"/>
          </w:tcPr>
          <w:p w:rsidR="002C1277" w:rsidRPr="002C1277" w:rsidRDefault="002C1277" w:rsidP="001F1CCA">
            <w:pPr>
              <w:rPr>
                <w:sz w:val="20"/>
                <w:szCs w:val="20"/>
              </w:rPr>
            </w:pPr>
            <w:r w:rsidRPr="002C1277">
              <w:rPr>
                <w:bCs/>
                <w:sz w:val="20"/>
                <w:szCs w:val="20"/>
              </w:rPr>
              <w:t>из нетканого материала, пропускающего влагу в одном направлении и обеспечивающего сухость кожи</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Материал впитывающего слоя, превращающая жидкость в гель.</w:t>
            </w:r>
          </w:p>
        </w:tc>
        <w:tc>
          <w:tcPr>
            <w:tcW w:w="1068" w:type="pct"/>
          </w:tcPr>
          <w:p w:rsidR="002C1277" w:rsidRPr="002C1277" w:rsidRDefault="002C1277" w:rsidP="001F1CCA">
            <w:pPr>
              <w:rPr>
                <w:sz w:val="20"/>
                <w:szCs w:val="20"/>
              </w:rPr>
            </w:pPr>
            <w:r w:rsidRPr="002C1277">
              <w:rPr>
                <w:bCs/>
                <w:sz w:val="20"/>
                <w:szCs w:val="20"/>
              </w:rPr>
              <w:t xml:space="preserve">распушенная целлюлоза с </w:t>
            </w:r>
            <w:proofErr w:type="spellStart"/>
            <w:r w:rsidRPr="002C1277">
              <w:rPr>
                <w:bCs/>
                <w:sz w:val="20"/>
                <w:szCs w:val="20"/>
              </w:rPr>
              <w:t>суперабсорбирующим</w:t>
            </w:r>
            <w:proofErr w:type="spellEnd"/>
            <w:r w:rsidRPr="002C1277">
              <w:rPr>
                <w:bCs/>
                <w:sz w:val="20"/>
                <w:szCs w:val="20"/>
              </w:rPr>
              <w:t xml:space="preserve"> полимером</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Подгузник оснащен водонепроницаемыми защитными барьерами по бокам.</w:t>
            </w:r>
          </w:p>
        </w:tc>
        <w:tc>
          <w:tcPr>
            <w:tcW w:w="1068" w:type="pct"/>
          </w:tcPr>
          <w:p w:rsidR="002C1277" w:rsidRPr="002C1277" w:rsidRDefault="002C1277" w:rsidP="001F1CCA">
            <w:pPr>
              <w:rPr>
                <w:sz w:val="20"/>
                <w:szCs w:val="20"/>
              </w:rPr>
            </w:pPr>
            <w:r w:rsidRPr="002C1277">
              <w:rPr>
                <w:sz w:val="20"/>
                <w:szCs w:val="20"/>
              </w:rPr>
              <w:t>соответствует</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 xml:space="preserve">Форма подгузника </w:t>
            </w:r>
          </w:p>
        </w:tc>
        <w:tc>
          <w:tcPr>
            <w:tcW w:w="1068" w:type="pct"/>
          </w:tcPr>
          <w:p w:rsidR="002C1277" w:rsidRPr="002C1277" w:rsidRDefault="002C1277" w:rsidP="001F1CCA">
            <w:pPr>
              <w:rPr>
                <w:sz w:val="20"/>
                <w:szCs w:val="20"/>
              </w:rPr>
            </w:pPr>
            <w:r w:rsidRPr="002C1277">
              <w:rPr>
                <w:sz w:val="20"/>
                <w:szCs w:val="20"/>
              </w:rPr>
              <w:t>соответствует развёртке нижней части торса тела человека с дополнительным увеличением площади на запах боковой части</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 xml:space="preserve">Форма впитывающего слоя подгузника </w:t>
            </w:r>
          </w:p>
        </w:tc>
        <w:tc>
          <w:tcPr>
            <w:tcW w:w="1068" w:type="pct"/>
          </w:tcPr>
          <w:p w:rsidR="002C1277" w:rsidRPr="002C1277" w:rsidRDefault="002C1277" w:rsidP="001F1CCA">
            <w:pPr>
              <w:rPr>
                <w:sz w:val="20"/>
                <w:szCs w:val="20"/>
              </w:rPr>
            </w:pPr>
            <w:r w:rsidRPr="002C1277">
              <w:rPr>
                <w:sz w:val="20"/>
                <w:szCs w:val="20"/>
              </w:rPr>
              <w:t>дает возможность использования мужчинами и женщинами</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Срок годности Изделий с момента передачи Получателю должен составлять не менее 12 месяцев</w:t>
            </w:r>
          </w:p>
        </w:tc>
        <w:tc>
          <w:tcPr>
            <w:tcW w:w="1068" w:type="pct"/>
          </w:tcPr>
          <w:p w:rsidR="002C1277" w:rsidRPr="002C1277" w:rsidRDefault="002C1277" w:rsidP="001F1CCA">
            <w:pPr>
              <w:rPr>
                <w:sz w:val="20"/>
                <w:szCs w:val="20"/>
              </w:rPr>
            </w:pPr>
            <w:r w:rsidRPr="002C1277">
              <w:rPr>
                <w:sz w:val="20"/>
                <w:szCs w:val="20"/>
              </w:rPr>
              <w:t>соответствует</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 xml:space="preserve">Материал наружного слоя (нижний покровный слой) подгузника </w:t>
            </w:r>
          </w:p>
        </w:tc>
        <w:tc>
          <w:tcPr>
            <w:tcW w:w="1068" w:type="pct"/>
          </w:tcPr>
          <w:p w:rsidR="002C1277" w:rsidRPr="002C1277" w:rsidRDefault="002C1277" w:rsidP="001F1CCA">
            <w:pPr>
              <w:rPr>
                <w:sz w:val="20"/>
                <w:szCs w:val="20"/>
              </w:rPr>
            </w:pPr>
            <w:r w:rsidRPr="002C1277">
              <w:rPr>
                <w:sz w:val="20"/>
                <w:szCs w:val="20"/>
              </w:rPr>
              <w:t>из специального материала, препятствующего проникновению влаги наружу</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bCs/>
                <w:sz w:val="20"/>
                <w:szCs w:val="20"/>
              </w:rPr>
            </w:pPr>
          </w:p>
        </w:tc>
        <w:tc>
          <w:tcPr>
            <w:tcW w:w="1397" w:type="pct"/>
          </w:tcPr>
          <w:p w:rsidR="002C1277" w:rsidRPr="002C1277" w:rsidRDefault="002C1277" w:rsidP="001F1CCA">
            <w:pPr>
              <w:tabs>
                <w:tab w:val="left" w:pos="708"/>
              </w:tabs>
              <w:suppressAutoHyphens/>
              <w:rPr>
                <w:bCs/>
                <w:sz w:val="20"/>
                <w:szCs w:val="20"/>
              </w:rPr>
            </w:pPr>
            <w:r w:rsidRPr="002C1277">
              <w:rPr>
                <w:bCs/>
                <w:sz w:val="20"/>
                <w:szCs w:val="20"/>
              </w:rPr>
              <w:t>ГОСТ Р 55082-2012</w:t>
            </w:r>
          </w:p>
        </w:tc>
        <w:tc>
          <w:tcPr>
            <w:tcW w:w="1068" w:type="pct"/>
          </w:tcPr>
          <w:p w:rsidR="002C1277" w:rsidRPr="002C1277" w:rsidRDefault="002C1277" w:rsidP="001F1CCA">
            <w:pPr>
              <w:rPr>
                <w:sz w:val="20"/>
                <w:szCs w:val="20"/>
              </w:rPr>
            </w:pPr>
            <w:r w:rsidRPr="002C1277">
              <w:rPr>
                <w:sz w:val="20"/>
                <w:szCs w:val="20"/>
              </w:rPr>
              <w:t>соответствует</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val="restart"/>
          </w:tcPr>
          <w:p w:rsidR="002C1277" w:rsidRPr="002C1277" w:rsidRDefault="002C1277" w:rsidP="001F1CCA">
            <w:pPr>
              <w:jc w:val="center"/>
              <w:rPr>
                <w:sz w:val="20"/>
                <w:szCs w:val="20"/>
              </w:rPr>
            </w:pPr>
            <w:r w:rsidRPr="002C1277">
              <w:rPr>
                <w:sz w:val="20"/>
                <w:szCs w:val="20"/>
              </w:rPr>
              <w:t>2</w:t>
            </w:r>
          </w:p>
        </w:tc>
        <w:tc>
          <w:tcPr>
            <w:tcW w:w="718" w:type="pct"/>
            <w:vMerge w:val="restart"/>
          </w:tcPr>
          <w:p w:rsidR="002C1277" w:rsidRPr="002C1277" w:rsidRDefault="002C1277" w:rsidP="001F1CCA">
            <w:pPr>
              <w:jc w:val="center"/>
              <w:rPr>
                <w:sz w:val="20"/>
                <w:szCs w:val="20"/>
              </w:rPr>
            </w:pPr>
            <w:r w:rsidRPr="002C1277">
              <w:rPr>
                <w:sz w:val="20"/>
                <w:szCs w:val="20"/>
              </w:rPr>
              <w:t>Подгузники для взрослых размер Х</w:t>
            </w:r>
            <w:r w:rsidRPr="002C1277">
              <w:rPr>
                <w:sz w:val="20"/>
                <w:szCs w:val="20"/>
                <w:lang w:val="en-US"/>
              </w:rPr>
              <w:t>S</w:t>
            </w:r>
          </w:p>
        </w:tc>
        <w:tc>
          <w:tcPr>
            <w:tcW w:w="1397" w:type="pct"/>
          </w:tcPr>
          <w:p w:rsidR="002C1277" w:rsidRPr="002C1277" w:rsidRDefault="002C1277" w:rsidP="001F1CCA">
            <w:pPr>
              <w:tabs>
                <w:tab w:val="left" w:pos="708"/>
              </w:tabs>
              <w:suppressAutoHyphens/>
              <w:rPr>
                <w:sz w:val="20"/>
                <w:szCs w:val="20"/>
              </w:rPr>
            </w:pPr>
            <w:r w:rsidRPr="002C1277">
              <w:rPr>
                <w:sz w:val="20"/>
                <w:szCs w:val="20"/>
              </w:rPr>
              <w:t>обхват талии/бедер</w:t>
            </w:r>
          </w:p>
        </w:tc>
        <w:tc>
          <w:tcPr>
            <w:tcW w:w="1068" w:type="pct"/>
          </w:tcPr>
          <w:p w:rsidR="002C1277" w:rsidRPr="002C1277" w:rsidRDefault="002C1277" w:rsidP="001F1CCA">
            <w:pPr>
              <w:rPr>
                <w:sz w:val="20"/>
                <w:szCs w:val="20"/>
              </w:rPr>
            </w:pPr>
            <w:r w:rsidRPr="002C1277">
              <w:rPr>
                <w:sz w:val="20"/>
                <w:szCs w:val="20"/>
              </w:rPr>
              <w:t>до 60 см.</w:t>
            </w:r>
          </w:p>
        </w:tc>
        <w:tc>
          <w:tcPr>
            <w:tcW w:w="806" w:type="pct"/>
          </w:tcPr>
          <w:p w:rsidR="002C1277" w:rsidRPr="002C1277" w:rsidRDefault="002C1277" w:rsidP="001F1CCA">
            <w:pPr>
              <w:rPr>
                <w:sz w:val="20"/>
                <w:szCs w:val="20"/>
              </w:rPr>
            </w:pPr>
          </w:p>
        </w:tc>
        <w:tc>
          <w:tcPr>
            <w:tcW w:w="347" w:type="pct"/>
            <w:vMerge w:val="restart"/>
          </w:tcPr>
          <w:p w:rsidR="002C1277" w:rsidRPr="002C1277" w:rsidRDefault="002C1277" w:rsidP="001F1CCA">
            <w:pPr>
              <w:rPr>
                <w:sz w:val="20"/>
                <w:szCs w:val="20"/>
              </w:rPr>
            </w:pPr>
            <w:r w:rsidRPr="002C1277">
              <w:rPr>
                <w:sz w:val="20"/>
                <w:szCs w:val="20"/>
              </w:rPr>
              <w:t>Шт.</w:t>
            </w:r>
          </w:p>
        </w:tc>
        <w:tc>
          <w:tcPr>
            <w:tcW w:w="425" w:type="pct"/>
            <w:vMerge w:val="restart"/>
          </w:tcPr>
          <w:p w:rsidR="002C1277" w:rsidRPr="002C1277" w:rsidRDefault="002C1277" w:rsidP="001F1CCA">
            <w:pPr>
              <w:rPr>
                <w:sz w:val="20"/>
                <w:szCs w:val="20"/>
              </w:rPr>
            </w:pPr>
            <w:r w:rsidRPr="002C1277">
              <w:rPr>
                <w:sz w:val="20"/>
                <w:szCs w:val="20"/>
              </w:rPr>
              <w:t>32 400</w:t>
            </w: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Тип подгузника</w:t>
            </w:r>
          </w:p>
        </w:tc>
        <w:tc>
          <w:tcPr>
            <w:tcW w:w="1068" w:type="pct"/>
          </w:tcPr>
          <w:p w:rsidR="002C1277" w:rsidRPr="002C1277" w:rsidRDefault="002C1277" w:rsidP="001F1CCA">
            <w:pPr>
              <w:rPr>
                <w:sz w:val="20"/>
                <w:szCs w:val="20"/>
              </w:rPr>
            </w:pPr>
            <w:r w:rsidRPr="002C1277">
              <w:rPr>
                <w:sz w:val="20"/>
                <w:szCs w:val="20"/>
              </w:rPr>
              <w:t>закрытого типа,</w:t>
            </w:r>
            <w:r w:rsidRPr="002C1277">
              <w:rPr>
                <w:bCs/>
                <w:sz w:val="20"/>
                <w:szCs w:val="20"/>
              </w:rPr>
              <w:t xml:space="preserve"> одноразового пользования,</w:t>
            </w:r>
            <w:r w:rsidRPr="002C1277">
              <w:rPr>
                <w:sz w:val="20"/>
                <w:szCs w:val="20"/>
              </w:rPr>
              <w:t xml:space="preserve"> закрывает боковые поверхности бедер, крепится по бокам на многоразовые застёжки-липучки</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Вид подгузника в зависимости от количества впитываемой жидкости</w:t>
            </w:r>
          </w:p>
        </w:tc>
        <w:tc>
          <w:tcPr>
            <w:tcW w:w="1068" w:type="pct"/>
          </w:tcPr>
          <w:p w:rsidR="002C1277" w:rsidRPr="002C1277" w:rsidRDefault="002C1277" w:rsidP="001F1CCA">
            <w:pPr>
              <w:rPr>
                <w:sz w:val="20"/>
                <w:szCs w:val="20"/>
              </w:rPr>
            </w:pPr>
            <w:r w:rsidRPr="002C1277">
              <w:rPr>
                <w:sz w:val="20"/>
                <w:szCs w:val="20"/>
              </w:rPr>
              <w:t>для тяжелой степени недержания</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Полное влагопоглощение, грамм</w:t>
            </w:r>
          </w:p>
        </w:tc>
        <w:tc>
          <w:tcPr>
            <w:tcW w:w="1068" w:type="pct"/>
          </w:tcPr>
          <w:p w:rsidR="002C1277" w:rsidRPr="002C1277" w:rsidRDefault="002C1277" w:rsidP="001F1CCA">
            <w:pPr>
              <w:rPr>
                <w:sz w:val="20"/>
                <w:szCs w:val="20"/>
              </w:rPr>
            </w:pPr>
          </w:p>
        </w:tc>
        <w:tc>
          <w:tcPr>
            <w:tcW w:w="806" w:type="pct"/>
          </w:tcPr>
          <w:p w:rsidR="002C1277" w:rsidRPr="002C1277" w:rsidRDefault="002C1277" w:rsidP="001F1CCA">
            <w:pPr>
              <w:rPr>
                <w:sz w:val="20"/>
                <w:szCs w:val="20"/>
              </w:rPr>
            </w:pPr>
            <w:r w:rsidRPr="002C1277">
              <w:rPr>
                <w:sz w:val="20"/>
                <w:szCs w:val="20"/>
              </w:rPr>
              <w:t xml:space="preserve">Не менее 1200 </w:t>
            </w: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bCs/>
                <w:sz w:val="20"/>
                <w:szCs w:val="20"/>
              </w:rPr>
            </w:pPr>
            <w:r w:rsidRPr="002C1277">
              <w:rPr>
                <w:sz w:val="20"/>
                <w:szCs w:val="20"/>
              </w:rPr>
              <w:t>Индикатор наполнение подгузника</w:t>
            </w:r>
          </w:p>
        </w:tc>
        <w:tc>
          <w:tcPr>
            <w:tcW w:w="1068" w:type="pct"/>
          </w:tcPr>
          <w:p w:rsidR="002C1277" w:rsidRPr="002C1277" w:rsidRDefault="002C1277" w:rsidP="001F1CCA">
            <w:pPr>
              <w:rPr>
                <w:sz w:val="20"/>
                <w:szCs w:val="20"/>
              </w:rPr>
            </w:pPr>
            <w:r w:rsidRPr="002C1277">
              <w:rPr>
                <w:sz w:val="20"/>
                <w:szCs w:val="20"/>
              </w:rPr>
              <w:t>наличие</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 xml:space="preserve">Материал внутренней поверхность (верхний покровный слой) подгузника </w:t>
            </w:r>
          </w:p>
        </w:tc>
        <w:tc>
          <w:tcPr>
            <w:tcW w:w="1068" w:type="pct"/>
          </w:tcPr>
          <w:p w:rsidR="002C1277" w:rsidRPr="002C1277" w:rsidRDefault="002C1277" w:rsidP="001F1CCA">
            <w:pPr>
              <w:rPr>
                <w:sz w:val="20"/>
                <w:szCs w:val="20"/>
              </w:rPr>
            </w:pPr>
            <w:r w:rsidRPr="002C1277">
              <w:rPr>
                <w:bCs/>
                <w:sz w:val="20"/>
                <w:szCs w:val="20"/>
              </w:rPr>
              <w:t>из нетканого материала, пропускающего влагу в одном направлении и обеспечивающего сухость кожи</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Материал впитывающего слоя, превращающая жидкость в гель.</w:t>
            </w:r>
          </w:p>
        </w:tc>
        <w:tc>
          <w:tcPr>
            <w:tcW w:w="1068" w:type="pct"/>
          </w:tcPr>
          <w:p w:rsidR="002C1277" w:rsidRPr="002C1277" w:rsidRDefault="002C1277" w:rsidP="001F1CCA">
            <w:pPr>
              <w:rPr>
                <w:sz w:val="20"/>
                <w:szCs w:val="20"/>
              </w:rPr>
            </w:pPr>
            <w:r w:rsidRPr="002C1277">
              <w:rPr>
                <w:bCs/>
                <w:sz w:val="20"/>
                <w:szCs w:val="20"/>
              </w:rPr>
              <w:t xml:space="preserve">распушенная целлюлоза с </w:t>
            </w:r>
            <w:proofErr w:type="spellStart"/>
            <w:r w:rsidRPr="002C1277">
              <w:rPr>
                <w:bCs/>
                <w:sz w:val="20"/>
                <w:szCs w:val="20"/>
              </w:rPr>
              <w:t>суперабсорбирующим</w:t>
            </w:r>
            <w:proofErr w:type="spellEnd"/>
            <w:r w:rsidRPr="002C1277">
              <w:rPr>
                <w:bCs/>
                <w:sz w:val="20"/>
                <w:szCs w:val="20"/>
              </w:rPr>
              <w:t xml:space="preserve"> полимером</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Подгузник оснащен водонепроницаемыми защитными барьерами по бокам.</w:t>
            </w:r>
          </w:p>
        </w:tc>
        <w:tc>
          <w:tcPr>
            <w:tcW w:w="1068" w:type="pct"/>
          </w:tcPr>
          <w:p w:rsidR="002C1277" w:rsidRPr="002C1277" w:rsidRDefault="002C1277" w:rsidP="001F1CCA">
            <w:pPr>
              <w:rPr>
                <w:sz w:val="20"/>
                <w:szCs w:val="20"/>
              </w:rPr>
            </w:pPr>
            <w:r w:rsidRPr="002C1277">
              <w:rPr>
                <w:sz w:val="20"/>
                <w:szCs w:val="20"/>
              </w:rPr>
              <w:t>соответствует</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 xml:space="preserve">Форма подгузника </w:t>
            </w:r>
          </w:p>
        </w:tc>
        <w:tc>
          <w:tcPr>
            <w:tcW w:w="1068" w:type="pct"/>
          </w:tcPr>
          <w:p w:rsidR="002C1277" w:rsidRPr="002C1277" w:rsidRDefault="002C1277" w:rsidP="001F1CCA">
            <w:pPr>
              <w:rPr>
                <w:sz w:val="20"/>
                <w:szCs w:val="20"/>
              </w:rPr>
            </w:pPr>
            <w:r w:rsidRPr="002C1277">
              <w:rPr>
                <w:sz w:val="20"/>
                <w:szCs w:val="20"/>
              </w:rPr>
              <w:t xml:space="preserve">соответствует развёртке нижней части торса тела человека с дополнительным увеличением площади </w:t>
            </w:r>
            <w:r w:rsidRPr="002C1277">
              <w:rPr>
                <w:sz w:val="20"/>
                <w:szCs w:val="20"/>
              </w:rPr>
              <w:lastRenderedPageBreak/>
              <w:t>на запах боковой части</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 xml:space="preserve">Форма впитывающего слоя подгузника </w:t>
            </w:r>
          </w:p>
        </w:tc>
        <w:tc>
          <w:tcPr>
            <w:tcW w:w="1068" w:type="pct"/>
          </w:tcPr>
          <w:p w:rsidR="002C1277" w:rsidRPr="002C1277" w:rsidRDefault="002C1277" w:rsidP="001F1CCA">
            <w:pPr>
              <w:rPr>
                <w:sz w:val="20"/>
                <w:szCs w:val="20"/>
              </w:rPr>
            </w:pPr>
            <w:r w:rsidRPr="002C1277">
              <w:rPr>
                <w:sz w:val="20"/>
                <w:szCs w:val="20"/>
              </w:rPr>
              <w:t>Дает возможность использования мужчинами и женщинами</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Срок годности Изделий с момента передачи Получателю должен составлять не менее 12 месяцев</w:t>
            </w:r>
          </w:p>
        </w:tc>
        <w:tc>
          <w:tcPr>
            <w:tcW w:w="1068" w:type="pct"/>
          </w:tcPr>
          <w:p w:rsidR="002C1277" w:rsidRPr="002C1277" w:rsidRDefault="002C1277" w:rsidP="001F1CCA">
            <w:pPr>
              <w:rPr>
                <w:sz w:val="20"/>
                <w:szCs w:val="20"/>
              </w:rPr>
            </w:pPr>
            <w:r w:rsidRPr="002C1277">
              <w:rPr>
                <w:sz w:val="20"/>
                <w:szCs w:val="20"/>
              </w:rPr>
              <w:t>соответствует</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sz w:val="20"/>
                <w:szCs w:val="20"/>
              </w:rPr>
              <w:t xml:space="preserve">Материал наружного слоя (нижний покровный слой) подгузника </w:t>
            </w:r>
          </w:p>
        </w:tc>
        <w:tc>
          <w:tcPr>
            <w:tcW w:w="1068" w:type="pct"/>
          </w:tcPr>
          <w:p w:rsidR="002C1277" w:rsidRPr="002C1277" w:rsidRDefault="002C1277" w:rsidP="001F1CCA">
            <w:pPr>
              <w:rPr>
                <w:sz w:val="20"/>
                <w:szCs w:val="20"/>
              </w:rPr>
            </w:pPr>
            <w:r w:rsidRPr="002C1277">
              <w:rPr>
                <w:sz w:val="20"/>
                <w:szCs w:val="20"/>
              </w:rPr>
              <w:t>из специального материала, препятствующего проникновению влаги наружу</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vMerge/>
          </w:tcPr>
          <w:p w:rsidR="002C1277" w:rsidRPr="002C1277" w:rsidRDefault="002C1277" w:rsidP="001F1CCA">
            <w:pPr>
              <w:jc w:val="center"/>
              <w:rPr>
                <w:sz w:val="20"/>
                <w:szCs w:val="20"/>
              </w:rPr>
            </w:pPr>
          </w:p>
        </w:tc>
        <w:tc>
          <w:tcPr>
            <w:tcW w:w="718" w:type="pct"/>
            <w:vMerge/>
          </w:tcPr>
          <w:p w:rsidR="002C1277" w:rsidRPr="002C1277" w:rsidRDefault="002C1277" w:rsidP="001F1CCA">
            <w:pPr>
              <w:jc w:val="center"/>
              <w:rPr>
                <w:sz w:val="20"/>
                <w:szCs w:val="20"/>
              </w:rPr>
            </w:pPr>
          </w:p>
        </w:tc>
        <w:tc>
          <w:tcPr>
            <w:tcW w:w="1397" w:type="pct"/>
          </w:tcPr>
          <w:p w:rsidR="002C1277" w:rsidRPr="002C1277" w:rsidRDefault="002C1277" w:rsidP="001F1CCA">
            <w:pPr>
              <w:tabs>
                <w:tab w:val="left" w:pos="708"/>
              </w:tabs>
              <w:suppressAutoHyphens/>
              <w:rPr>
                <w:sz w:val="20"/>
                <w:szCs w:val="20"/>
              </w:rPr>
            </w:pPr>
            <w:r w:rsidRPr="002C1277">
              <w:rPr>
                <w:bCs/>
                <w:sz w:val="20"/>
                <w:szCs w:val="20"/>
              </w:rPr>
              <w:t>ГОСТ Р 55082-2012</w:t>
            </w:r>
          </w:p>
        </w:tc>
        <w:tc>
          <w:tcPr>
            <w:tcW w:w="1068" w:type="pct"/>
          </w:tcPr>
          <w:p w:rsidR="002C1277" w:rsidRPr="002C1277" w:rsidRDefault="002C1277" w:rsidP="001F1CCA">
            <w:pPr>
              <w:rPr>
                <w:sz w:val="20"/>
                <w:szCs w:val="20"/>
              </w:rPr>
            </w:pPr>
            <w:r w:rsidRPr="002C1277">
              <w:rPr>
                <w:sz w:val="20"/>
                <w:szCs w:val="20"/>
              </w:rPr>
              <w:t>соответствует</w:t>
            </w:r>
          </w:p>
        </w:tc>
        <w:tc>
          <w:tcPr>
            <w:tcW w:w="806" w:type="pct"/>
          </w:tcPr>
          <w:p w:rsidR="002C1277" w:rsidRPr="002C1277" w:rsidRDefault="002C1277" w:rsidP="001F1CCA">
            <w:pPr>
              <w:rPr>
                <w:sz w:val="20"/>
                <w:szCs w:val="20"/>
              </w:rPr>
            </w:pPr>
          </w:p>
        </w:tc>
        <w:tc>
          <w:tcPr>
            <w:tcW w:w="347" w:type="pct"/>
            <w:vMerge/>
          </w:tcPr>
          <w:p w:rsidR="002C1277" w:rsidRPr="002C1277" w:rsidRDefault="002C1277" w:rsidP="001F1CCA">
            <w:pPr>
              <w:rPr>
                <w:sz w:val="20"/>
                <w:szCs w:val="20"/>
              </w:rPr>
            </w:pPr>
          </w:p>
        </w:tc>
        <w:tc>
          <w:tcPr>
            <w:tcW w:w="425" w:type="pct"/>
            <w:vMerge/>
          </w:tcPr>
          <w:p w:rsidR="002C1277" w:rsidRPr="002C1277" w:rsidRDefault="002C1277" w:rsidP="001F1CCA">
            <w:pPr>
              <w:rPr>
                <w:sz w:val="20"/>
                <w:szCs w:val="20"/>
              </w:rPr>
            </w:pPr>
          </w:p>
        </w:tc>
      </w:tr>
      <w:tr w:rsidR="002C1277" w:rsidRPr="002C1277" w:rsidTr="002C1277">
        <w:trPr>
          <w:trHeight w:val="211"/>
        </w:trPr>
        <w:tc>
          <w:tcPr>
            <w:tcW w:w="238" w:type="pct"/>
          </w:tcPr>
          <w:p w:rsidR="002C1277" w:rsidRPr="002C1277" w:rsidRDefault="002C1277" w:rsidP="001F1CCA">
            <w:pPr>
              <w:jc w:val="center"/>
              <w:rPr>
                <w:sz w:val="20"/>
                <w:szCs w:val="20"/>
              </w:rPr>
            </w:pPr>
          </w:p>
        </w:tc>
        <w:tc>
          <w:tcPr>
            <w:tcW w:w="4336" w:type="pct"/>
            <w:gridSpan w:val="5"/>
          </w:tcPr>
          <w:p w:rsidR="002C1277" w:rsidRPr="002C1277" w:rsidRDefault="002C1277" w:rsidP="001F1CCA">
            <w:pPr>
              <w:jc w:val="right"/>
              <w:rPr>
                <w:sz w:val="20"/>
                <w:szCs w:val="20"/>
              </w:rPr>
            </w:pPr>
            <w:r w:rsidRPr="002C1277">
              <w:rPr>
                <w:sz w:val="20"/>
                <w:szCs w:val="20"/>
              </w:rPr>
              <w:t>ИТОГО:</w:t>
            </w:r>
          </w:p>
        </w:tc>
        <w:tc>
          <w:tcPr>
            <w:tcW w:w="425" w:type="pct"/>
          </w:tcPr>
          <w:p w:rsidR="002C1277" w:rsidRPr="002C1277" w:rsidRDefault="002C1277" w:rsidP="001F1CCA">
            <w:pPr>
              <w:jc w:val="center"/>
              <w:rPr>
                <w:sz w:val="20"/>
                <w:szCs w:val="20"/>
              </w:rPr>
            </w:pPr>
            <w:r w:rsidRPr="002C1277">
              <w:rPr>
                <w:sz w:val="20"/>
                <w:szCs w:val="20"/>
              </w:rPr>
              <w:t>64 800</w:t>
            </w:r>
          </w:p>
        </w:tc>
      </w:tr>
    </w:tbl>
    <w:p w:rsidR="006E787B" w:rsidRDefault="006E787B" w:rsidP="006E787B">
      <w:pPr>
        <w:widowControl w:val="0"/>
        <w:tabs>
          <w:tab w:val="left" w:pos="708"/>
        </w:tabs>
        <w:suppressAutoHyphens/>
        <w:autoSpaceDE w:val="0"/>
        <w:autoSpaceDN w:val="0"/>
        <w:ind w:firstLine="709"/>
        <w:jc w:val="center"/>
        <w:textAlignment w:val="baseline"/>
        <w:rPr>
          <w:rFonts w:eastAsia="Lucida Sans Unicode"/>
          <w:b/>
          <w:kern w:val="3"/>
        </w:rPr>
      </w:pPr>
    </w:p>
    <w:p w:rsidR="006E787B" w:rsidRDefault="006E787B" w:rsidP="006E787B">
      <w:pPr>
        <w:widowControl w:val="0"/>
        <w:tabs>
          <w:tab w:val="left" w:pos="708"/>
        </w:tabs>
        <w:suppressAutoHyphens/>
        <w:autoSpaceDE w:val="0"/>
        <w:autoSpaceDN w:val="0"/>
        <w:ind w:firstLine="709"/>
        <w:jc w:val="center"/>
        <w:textAlignment w:val="baseline"/>
        <w:rPr>
          <w:rFonts w:eastAsia="Lucida Sans Unicode"/>
          <w:b/>
          <w:kern w:val="3"/>
        </w:rPr>
      </w:pPr>
    </w:p>
    <w:p w:rsidR="006E787B" w:rsidRPr="00A631B9" w:rsidRDefault="006E787B" w:rsidP="006E787B">
      <w:pPr>
        <w:widowControl w:val="0"/>
        <w:tabs>
          <w:tab w:val="left" w:pos="708"/>
        </w:tabs>
        <w:suppressAutoHyphens/>
        <w:autoSpaceDE w:val="0"/>
        <w:autoSpaceDN w:val="0"/>
        <w:ind w:firstLine="709"/>
        <w:jc w:val="center"/>
        <w:textAlignment w:val="baseline"/>
        <w:rPr>
          <w:rFonts w:eastAsia="Lucida Sans Unicode"/>
          <w:b/>
          <w:kern w:val="3"/>
        </w:rPr>
      </w:pPr>
      <w:r w:rsidRPr="00A631B9">
        <w:rPr>
          <w:rFonts w:eastAsia="Lucida Sans Unicode"/>
          <w:b/>
          <w:kern w:val="3"/>
        </w:rPr>
        <w:t>Наименование, характеристики и количество поставляемых товаров</w:t>
      </w:r>
    </w:p>
    <w:p w:rsidR="006E787B" w:rsidRPr="00A631B9" w:rsidRDefault="006E787B" w:rsidP="006E787B">
      <w:pPr>
        <w:pStyle w:val="ConsPlusNormal"/>
        <w:keepNext/>
        <w:keepLines/>
        <w:jc w:val="both"/>
        <w:rPr>
          <w:rFonts w:ascii="Times New Roman" w:hAnsi="Times New Roman" w:cs="Times New Roman"/>
        </w:rPr>
      </w:pPr>
      <w:r w:rsidRPr="00A631B9">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sectPr w:rsidR="006E787B" w:rsidRPr="00A631B9" w:rsidSect="006E787B">
      <w:pgSz w:w="11906" w:h="16838"/>
      <w:pgMar w:top="567"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25" w:rsidRDefault="006A3425" w:rsidP="00D7115C">
      <w:r>
        <w:separator/>
      </w:r>
    </w:p>
  </w:endnote>
  <w:endnote w:type="continuationSeparator" w:id="0">
    <w:p w:rsidR="006A3425" w:rsidRDefault="006A3425"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25" w:rsidRDefault="006A3425" w:rsidP="00D7115C">
      <w:r>
        <w:separator/>
      </w:r>
    </w:p>
  </w:footnote>
  <w:footnote w:type="continuationSeparator" w:id="0">
    <w:p w:rsidR="006A3425" w:rsidRDefault="006A3425" w:rsidP="00D7115C">
      <w:r>
        <w:continuationSeparator/>
      </w:r>
    </w:p>
  </w:footnote>
  <w:footnote w:id="1">
    <w:p w:rsidR="002C1277" w:rsidRDefault="002C1277" w:rsidP="002C1277">
      <w:pPr>
        <w:pStyle w:val="a3"/>
      </w:pPr>
      <w:r>
        <w:rPr>
          <w:vertAlign w:val="superscript"/>
        </w:rPr>
        <w:t xml:space="preserve">1 </w:t>
      </w:r>
      <w:r>
        <w:t>Выделенные курсивом параметры являются изменяемыми, при подачи коммерческого предложения необходимо указать конкретные показатели.</w:t>
      </w:r>
    </w:p>
  </w:footnote>
  <w:footnote w:id="2">
    <w:p w:rsidR="002C1277" w:rsidRDefault="002C1277" w:rsidP="002C1277">
      <w:pPr>
        <w:pStyle w:val="a3"/>
      </w:pPr>
      <w:r>
        <w:rPr>
          <w:vertAlign w:val="superscript"/>
        </w:rPr>
        <w:t>2</w:t>
      </w:r>
      <w:r>
        <w:t xml:space="preserve"> Вносить изменения в наименования показателей не допускается.</w:t>
      </w:r>
    </w:p>
  </w:footnote>
  <w:footnote w:id="3">
    <w:p w:rsidR="002C1277" w:rsidRDefault="002C1277" w:rsidP="002C1277">
      <w:pPr>
        <w:pStyle w:val="a3"/>
      </w:pPr>
      <w:r>
        <w:rPr>
          <w:vertAlign w:val="superscript"/>
        </w:rPr>
        <w:t xml:space="preserve">3 </w:t>
      </w:r>
      <w:r>
        <w:t>Вносить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370D2"/>
    <w:rsid w:val="001A1B23"/>
    <w:rsid w:val="001E621C"/>
    <w:rsid w:val="00235DA7"/>
    <w:rsid w:val="00240B28"/>
    <w:rsid w:val="002B471D"/>
    <w:rsid w:val="002C1277"/>
    <w:rsid w:val="002C1B5B"/>
    <w:rsid w:val="00310864"/>
    <w:rsid w:val="003210F2"/>
    <w:rsid w:val="00386012"/>
    <w:rsid w:val="003D486E"/>
    <w:rsid w:val="00427C62"/>
    <w:rsid w:val="00450CFE"/>
    <w:rsid w:val="004528B9"/>
    <w:rsid w:val="00457089"/>
    <w:rsid w:val="0046492C"/>
    <w:rsid w:val="004667AA"/>
    <w:rsid w:val="00466F6A"/>
    <w:rsid w:val="004D497F"/>
    <w:rsid w:val="004F2140"/>
    <w:rsid w:val="00523837"/>
    <w:rsid w:val="00585EDA"/>
    <w:rsid w:val="005935A0"/>
    <w:rsid w:val="005D4418"/>
    <w:rsid w:val="005E0778"/>
    <w:rsid w:val="00632245"/>
    <w:rsid w:val="006A3425"/>
    <w:rsid w:val="006E787B"/>
    <w:rsid w:val="00706EF7"/>
    <w:rsid w:val="007214BD"/>
    <w:rsid w:val="007A5900"/>
    <w:rsid w:val="007C105E"/>
    <w:rsid w:val="007F2A0B"/>
    <w:rsid w:val="00852E8C"/>
    <w:rsid w:val="00890985"/>
    <w:rsid w:val="008A00DE"/>
    <w:rsid w:val="008A35F0"/>
    <w:rsid w:val="008F2AD3"/>
    <w:rsid w:val="009226AD"/>
    <w:rsid w:val="009A4C9B"/>
    <w:rsid w:val="009B3E5B"/>
    <w:rsid w:val="009B63B2"/>
    <w:rsid w:val="00A33FAD"/>
    <w:rsid w:val="00A520C7"/>
    <w:rsid w:val="00AC04AF"/>
    <w:rsid w:val="00AF1D6E"/>
    <w:rsid w:val="00B201AE"/>
    <w:rsid w:val="00B45B9E"/>
    <w:rsid w:val="00B82A3E"/>
    <w:rsid w:val="00BA2658"/>
    <w:rsid w:val="00BB7977"/>
    <w:rsid w:val="00BC42EC"/>
    <w:rsid w:val="00C0005A"/>
    <w:rsid w:val="00C1613C"/>
    <w:rsid w:val="00C34D1D"/>
    <w:rsid w:val="00C508C6"/>
    <w:rsid w:val="00C87CBF"/>
    <w:rsid w:val="00CA3011"/>
    <w:rsid w:val="00CB0C96"/>
    <w:rsid w:val="00CB473D"/>
    <w:rsid w:val="00CF42D3"/>
    <w:rsid w:val="00D01082"/>
    <w:rsid w:val="00D7115C"/>
    <w:rsid w:val="00D8164D"/>
    <w:rsid w:val="00D84C03"/>
    <w:rsid w:val="00D865A8"/>
    <w:rsid w:val="00DC4D5C"/>
    <w:rsid w:val="00E21973"/>
    <w:rsid w:val="00E35808"/>
    <w:rsid w:val="00ED4626"/>
    <w:rsid w:val="00F226A3"/>
    <w:rsid w:val="00F34F37"/>
    <w:rsid w:val="00F7376C"/>
    <w:rsid w:val="00F77189"/>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50</cp:revision>
  <dcterms:created xsi:type="dcterms:W3CDTF">2020-08-12T05:43:00Z</dcterms:created>
  <dcterms:modified xsi:type="dcterms:W3CDTF">2021-11-11T06:20:00Z</dcterms:modified>
</cp:coreProperties>
</file>