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D635E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8E5855" w:rsidRPr="008E5855">
        <w:rPr>
          <w:rFonts w:eastAsia="Calibri"/>
          <w:b/>
          <w:sz w:val="24"/>
          <w:szCs w:val="24"/>
          <w:lang w:eastAsia="en-US"/>
        </w:rPr>
        <w:t>специальных средств при нарушении функций выделения в 202</w:t>
      </w:r>
      <w:r w:rsidR="0071635B">
        <w:rPr>
          <w:rFonts w:eastAsia="Calibri"/>
          <w:b/>
          <w:sz w:val="24"/>
          <w:szCs w:val="24"/>
          <w:lang w:eastAsia="en-US"/>
        </w:rPr>
        <w:t>4</w:t>
      </w:r>
      <w:r w:rsidR="008E5855" w:rsidRPr="008E5855">
        <w:rPr>
          <w:rFonts w:eastAsia="Calibri"/>
          <w:b/>
          <w:sz w:val="24"/>
          <w:szCs w:val="24"/>
          <w:lang w:eastAsia="en-US"/>
        </w:rPr>
        <w:t xml:space="preserve"> году</w:t>
      </w: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F20C09" w:rsidP="00F20C09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автономн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область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  <w:r w:rsidR="00720191">
        <w:rPr>
          <w:rFonts w:eastAsia="Lucida Sans Unicode"/>
          <w:kern w:val="3"/>
          <w:sz w:val="24"/>
          <w:szCs w:val="24"/>
          <w:lang w:eastAsia="zh-CN" w:bidi="hi-IN"/>
        </w:rPr>
        <w:t>31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C540A0">
        <w:rPr>
          <w:rFonts w:eastAsia="Lucida Sans Unicode"/>
          <w:kern w:val="3"/>
          <w:sz w:val="24"/>
          <w:szCs w:val="24"/>
          <w:lang w:eastAsia="zh-CN" w:bidi="hi-IN"/>
        </w:rPr>
        <w:t>0</w:t>
      </w:r>
      <w:r w:rsidR="00720191">
        <w:rPr>
          <w:rFonts w:eastAsia="Lucida Sans Unicode"/>
          <w:kern w:val="3"/>
          <w:sz w:val="24"/>
          <w:szCs w:val="24"/>
          <w:lang w:eastAsia="zh-CN" w:bidi="hi-IN"/>
        </w:rPr>
        <w:t>5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C540A0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720191" w:rsidRPr="00720191">
        <w:rPr>
          <w:rFonts w:eastAsia="Lucida Sans Unicode"/>
          <w:kern w:val="3"/>
          <w:sz w:val="24"/>
          <w:szCs w:val="24"/>
          <w:lang w:eastAsia="zh-CN" w:bidi="hi-IN"/>
        </w:rPr>
        <w:t>в течение 30 календарных дней со дня, следующего за днем заключения Контракта.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C941F0" w:rsidRPr="00C941F0" w:rsidRDefault="00B7748D" w:rsidP="00C941F0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 w:rsidR="007237FE" w:rsidRPr="007237FE">
        <w:rPr>
          <w:sz w:val="24"/>
        </w:rPr>
        <w:t>Специальные средства при нарушении функций выделения (далее – Товар) предназначены для устранения агрессивного воздействия кишечного содержимого на кожу инвалидов (далее – Получатели).</w:t>
      </w:r>
    </w:p>
    <w:p w:rsidR="00505605" w:rsidRPr="00F62C1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tbl>
      <w:tblPr>
        <w:tblW w:w="9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009"/>
        <w:gridCol w:w="5245"/>
        <w:gridCol w:w="1134"/>
      </w:tblGrid>
      <w:tr w:rsidR="00B45A2E" w:rsidRPr="002968FF" w:rsidTr="00C567B0">
        <w:trPr>
          <w:trHeight w:val="1069"/>
        </w:trPr>
        <w:tc>
          <w:tcPr>
            <w:tcW w:w="567" w:type="dxa"/>
            <w:vAlign w:val="center"/>
          </w:tcPr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№</w:t>
            </w:r>
          </w:p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  <w:r w:rsidRPr="002968FF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45A2E" w:rsidRPr="002968FF" w:rsidRDefault="00B45A2E" w:rsidP="0062431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Наименование товара/Код вида ТСР</w:t>
            </w:r>
            <w:r w:rsidR="004F13DD">
              <w:rPr>
                <w:rFonts w:ascii="Times New Roman" w:hAnsi="Times New Roman"/>
                <w:b/>
                <w:sz w:val="24"/>
              </w:rPr>
              <w:t>/КТРУ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45A2E" w:rsidRPr="002968FF" w:rsidRDefault="00B45A2E" w:rsidP="00C567B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</w:t>
            </w:r>
            <w:r w:rsidR="00C567B0">
              <w:rPr>
                <w:rFonts w:ascii="Times New Roman" w:hAnsi="Times New Roman"/>
                <w:b/>
                <w:sz w:val="24"/>
              </w:rPr>
              <w:t xml:space="preserve">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Кол</w:t>
            </w:r>
            <w:r w:rsidR="00A27445" w:rsidRPr="002968FF">
              <w:rPr>
                <w:rFonts w:ascii="Times New Roman" w:hAnsi="Times New Roman"/>
                <w:b/>
                <w:sz w:val="24"/>
              </w:rPr>
              <w:t>-</w:t>
            </w:r>
            <w:r w:rsidRPr="002968FF">
              <w:rPr>
                <w:rFonts w:ascii="Times New Roman" w:hAnsi="Times New Roman"/>
                <w:b/>
                <w:sz w:val="24"/>
              </w:rPr>
              <w:t>во товара,</w:t>
            </w:r>
          </w:p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C540A0" w:rsidRPr="002968FF" w:rsidTr="00C567B0">
        <w:trPr>
          <w:trHeight w:val="303"/>
        </w:trPr>
        <w:tc>
          <w:tcPr>
            <w:tcW w:w="567" w:type="dxa"/>
          </w:tcPr>
          <w:p w:rsidR="00C540A0" w:rsidRDefault="00C540A0" w:rsidP="00C567B0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5977AA">
              <w:rPr>
                <w:sz w:val="24"/>
                <w:szCs w:val="24"/>
              </w:rPr>
              <w:t>Катетер уретральный длительного пользования</w:t>
            </w:r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21-01-22</w:t>
            </w:r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5977AA">
              <w:rPr>
                <w:sz w:val="24"/>
                <w:szCs w:val="24"/>
              </w:rPr>
              <w:t>Катетер уретральный постоянный для дренажа/промывания</w:t>
            </w:r>
          </w:p>
          <w:p w:rsidR="00C540A0" w:rsidRPr="00C567B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32.50.13.190-00006893</w:t>
            </w:r>
          </w:p>
        </w:tc>
        <w:tc>
          <w:tcPr>
            <w:tcW w:w="5245" w:type="dxa"/>
            <w:shd w:val="clear" w:color="auto" w:fill="auto"/>
          </w:tcPr>
          <w:p w:rsidR="00C540A0" w:rsidRPr="00C567B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5977AA">
              <w:rPr>
                <w:sz w:val="24"/>
                <w:szCs w:val="24"/>
              </w:rPr>
              <w:t xml:space="preserve">Катетеры </w:t>
            </w:r>
            <w:proofErr w:type="spellStart"/>
            <w:r w:rsidRPr="005977AA">
              <w:rPr>
                <w:sz w:val="24"/>
                <w:szCs w:val="24"/>
              </w:rPr>
              <w:t>Фолея</w:t>
            </w:r>
            <w:proofErr w:type="spellEnd"/>
            <w:r w:rsidRPr="005977AA">
              <w:rPr>
                <w:sz w:val="24"/>
                <w:szCs w:val="24"/>
              </w:rPr>
              <w:t xml:space="preserve"> предназначен</w:t>
            </w:r>
            <w:r>
              <w:rPr>
                <w:sz w:val="24"/>
                <w:szCs w:val="24"/>
              </w:rPr>
              <w:t>ы</w:t>
            </w:r>
            <w:r w:rsidRPr="005977AA">
              <w:rPr>
                <w:sz w:val="24"/>
                <w:szCs w:val="24"/>
              </w:rPr>
              <w:t xml:space="preserve"> для длительной </w:t>
            </w:r>
            <w:proofErr w:type="spellStart"/>
            <w:r w:rsidRPr="005977AA">
              <w:rPr>
                <w:sz w:val="24"/>
                <w:szCs w:val="24"/>
              </w:rPr>
              <w:t>катерезации</w:t>
            </w:r>
            <w:proofErr w:type="spellEnd"/>
            <w:r w:rsidRPr="005977AA">
              <w:rPr>
                <w:sz w:val="24"/>
                <w:szCs w:val="24"/>
              </w:rPr>
              <w:t xml:space="preserve"> мочевого пузыря однократного применения. Изготовлен</w:t>
            </w:r>
            <w:r>
              <w:rPr>
                <w:sz w:val="24"/>
                <w:szCs w:val="24"/>
              </w:rPr>
              <w:t>ы</w:t>
            </w:r>
            <w:r w:rsidRPr="005977AA">
              <w:rPr>
                <w:sz w:val="24"/>
                <w:szCs w:val="24"/>
              </w:rPr>
              <w:t xml:space="preserve"> из высококачественного латекса, покрытого силиконом</w:t>
            </w:r>
            <w:r>
              <w:rPr>
                <w:sz w:val="24"/>
                <w:szCs w:val="24"/>
              </w:rPr>
              <w:t>,</w:t>
            </w:r>
            <w:r w:rsidRPr="005977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977AA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ю</w:t>
            </w:r>
            <w:r w:rsidRPr="005977AA">
              <w:rPr>
                <w:sz w:val="24"/>
                <w:szCs w:val="24"/>
              </w:rPr>
              <w:t>т закрытый конец и два боковых отверстия, 2-х ходовой</w:t>
            </w:r>
            <w:r>
              <w:rPr>
                <w:sz w:val="24"/>
                <w:szCs w:val="24"/>
              </w:rPr>
              <w:t>.</w:t>
            </w:r>
            <w:r w:rsidRPr="005977AA">
              <w:rPr>
                <w:sz w:val="24"/>
                <w:szCs w:val="24"/>
              </w:rPr>
              <w:t xml:space="preserve"> Размеры по шкале </w:t>
            </w:r>
            <w:proofErr w:type="spellStart"/>
            <w:r w:rsidRPr="005977AA">
              <w:rPr>
                <w:sz w:val="24"/>
                <w:szCs w:val="24"/>
              </w:rPr>
              <w:t>Шарьера</w:t>
            </w:r>
            <w:proofErr w:type="spellEnd"/>
            <w:r w:rsidRPr="005977AA">
              <w:rPr>
                <w:sz w:val="24"/>
                <w:szCs w:val="24"/>
              </w:rPr>
              <w:t xml:space="preserve"> от 6 до 26 в зависимости от потребности получателя.</w:t>
            </w:r>
          </w:p>
        </w:tc>
        <w:tc>
          <w:tcPr>
            <w:tcW w:w="1134" w:type="dxa"/>
            <w:shd w:val="clear" w:color="auto" w:fill="auto"/>
          </w:tcPr>
          <w:p w:rsidR="00C540A0" w:rsidRPr="00855A6F" w:rsidRDefault="00C540A0" w:rsidP="00926AC4">
            <w:pPr>
              <w:snapToGrid w:val="0"/>
              <w:jc w:val="center"/>
              <w:rPr>
                <w:sz w:val="24"/>
                <w:szCs w:val="24"/>
              </w:rPr>
            </w:pPr>
            <w:r w:rsidRPr="00855A6F">
              <w:rPr>
                <w:sz w:val="24"/>
                <w:szCs w:val="24"/>
              </w:rPr>
              <w:t>630</w:t>
            </w:r>
          </w:p>
        </w:tc>
      </w:tr>
      <w:tr w:rsidR="00C540A0" w:rsidRPr="002968FF" w:rsidTr="00EE3E1A">
        <w:trPr>
          <w:trHeight w:val="2369"/>
        </w:trPr>
        <w:tc>
          <w:tcPr>
            <w:tcW w:w="567" w:type="dxa"/>
          </w:tcPr>
          <w:p w:rsidR="00C540A0" w:rsidRDefault="00C540A0" w:rsidP="00C567B0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594F6B">
              <w:rPr>
                <w:sz w:val="24"/>
                <w:szCs w:val="24"/>
              </w:rPr>
              <w:t>Катетер уретральный постоянного пользования</w:t>
            </w:r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21-01-23</w:t>
            </w:r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C540A0" w:rsidRDefault="001F1E4C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1F1E4C">
              <w:rPr>
                <w:sz w:val="24"/>
                <w:szCs w:val="24"/>
              </w:rPr>
              <w:t>Катетер уретральный баллонный постоянный для дренажа, не антибактериальный</w:t>
            </w:r>
            <w:bookmarkStart w:id="0" w:name="_GoBack"/>
            <w:bookmarkEnd w:id="0"/>
          </w:p>
          <w:p w:rsidR="00C540A0" w:rsidRPr="00C567B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594F6B">
              <w:rPr>
                <w:sz w:val="24"/>
                <w:szCs w:val="24"/>
              </w:rPr>
              <w:t>32.50.13.190-00006892</w:t>
            </w:r>
          </w:p>
        </w:tc>
        <w:tc>
          <w:tcPr>
            <w:tcW w:w="5245" w:type="dxa"/>
            <w:shd w:val="clear" w:color="auto" w:fill="auto"/>
          </w:tcPr>
          <w:p w:rsidR="00C540A0" w:rsidRPr="00C567B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594F6B">
              <w:rPr>
                <w:sz w:val="24"/>
                <w:szCs w:val="24"/>
              </w:rPr>
              <w:t xml:space="preserve">Катетеры </w:t>
            </w:r>
            <w:proofErr w:type="spellStart"/>
            <w:r w:rsidRPr="00594F6B">
              <w:rPr>
                <w:sz w:val="24"/>
                <w:szCs w:val="24"/>
              </w:rPr>
              <w:t>Фолея</w:t>
            </w:r>
            <w:proofErr w:type="spellEnd"/>
            <w:r w:rsidRPr="00594F6B">
              <w:rPr>
                <w:sz w:val="24"/>
                <w:szCs w:val="24"/>
              </w:rPr>
              <w:t xml:space="preserve"> предназначен</w:t>
            </w:r>
            <w:r>
              <w:rPr>
                <w:sz w:val="24"/>
                <w:szCs w:val="24"/>
              </w:rPr>
              <w:t>ы</w:t>
            </w:r>
            <w:r w:rsidRPr="00594F6B">
              <w:rPr>
                <w:sz w:val="24"/>
                <w:szCs w:val="24"/>
              </w:rPr>
              <w:t xml:space="preserve"> для длительной </w:t>
            </w:r>
            <w:proofErr w:type="spellStart"/>
            <w:r w:rsidRPr="00594F6B">
              <w:rPr>
                <w:sz w:val="24"/>
                <w:szCs w:val="24"/>
              </w:rPr>
              <w:t>катерезации</w:t>
            </w:r>
            <w:proofErr w:type="spellEnd"/>
            <w:r w:rsidRPr="00594F6B">
              <w:rPr>
                <w:sz w:val="24"/>
                <w:szCs w:val="24"/>
              </w:rPr>
              <w:t xml:space="preserve"> мочевого пузыря однократного применения. Изготовлен из высококачественно</w:t>
            </w:r>
            <w:r>
              <w:rPr>
                <w:sz w:val="24"/>
                <w:szCs w:val="24"/>
              </w:rPr>
              <w:t>го латекса, покрытого силиконом,</w:t>
            </w:r>
            <w:r w:rsidRPr="00594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94F6B">
              <w:rPr>
                <w:sz w:val="24"/>
                <w:szCs w:val="24"/>
              </w:rPr>
              <w:t>меет закрытый конец и два боковых отверстия, 2-х ходовой</w:t>
            </w:r>
            <w:r>
              <w:rPr>
                <w:sz w:val="24"/>
                <w:szCs w:val="24"/>
              </w:rPr>
              <w:t>.</w:t>
            </w:r>
            <w:r w:rsidRPr="00594F6B">
              <w:rPr>
                <w:sz w:val="24"/>
                <w:szCs w:val="24"/>
              </w:rPr>
              <w:t xml:space="preserve"> Размеры по шкале </w:t>
            </w:r>
            <w:proofErr w:type="spellStart"/>
            <w:r w:rsidRPr="00594F6B">
              <w:rPr>
                <w:sz w:val="24"/>
                <w:szCs w:val="24"/>
              </w:rPr>
              <w:t>Шарьера</w:t>
            </w:r>
            <w:proofErr w:type="spellEnd"/>
            <w:r w:rsidRPr="00594F6B">
              <w:rPr>
                <w:sz w:val="24"/>
                <w:szCs w:val="24"/>
              </w:rPr>
              <w:t xml:space="preserve"> от 6 до 26 в зависимости от потребности получателя.</w:t>
            </w:r>
          </w:p>
        </w:tc>
        <w:tc>
          <w:tcPr>
            <w:tcW w:w="1134" w:type="dxa"/>
            <w:shd w:val="clear" w:color="auto" w:fill="auto"/>
          </w:tcPr>
          <w:p w:rsidR="00C540A0" w:rsidRPr="00855A6F" w:rsidRDefault="00C540A0" w:rsidP="00926AC4">
            <w:pPr>
              <w:snapToGrid w:val="0"/>
              <w:jc w:val="center"/>
              <w:rPr>
                <w:sz w:val="24"/>
                <w:szCs w:val="24"/>
              </w:rPr>
            </w:pPr>
            <w:r w:rsidRPr="00855A6F">
              <w:rPr>
                <w:sz w:val="24"/>
                <w:szCs w:val="24"/>
              </w:rPr>
              <w:t>104</w:t>
            </w:r>
          </w:p>
        </w:tc>
      </w:tr>
      <w:tr w:rsidR="00C540A0" w:rsidRPr="002968FF" w:rsidTr="00C567B0">
        <w:trPr>
          <w:trHeight w:val="303"/>
        </w:trPr>
        <w:tc>
          <w:tcPr>
            <w:tcW w:w="567" w:type="dxa"/>
          </w:tcPr>
          <w:p w:rsidR="00C540A0" w:rsidRDefault="00C540A0" w:rsidP="00C567B0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EE3E1A">
              <w:rPr>
                <w:sz w:val="24"/>
                <w:szCs w:val="24"/>
              </w:rPr>
              <w:t xml:space="preserve">Катетер для </w:t>
            </w:r>
            <w:proofErr w:type="spellStart"/>
            <w:r w:rsidRPr="00EE3E1A">
              <w:rPr>
                <w:sz w:val="24"/>
                <w:szCs w:val="24"/>
              </w:rPr>
              <w:t>эпицистостомы</w:t>
            </w:r>
            <w:proofErr w:type="spellEnd"/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21-01-24</w:t>
            </w:r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C540A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EE3E1A">
              <w:rPr>
                <w:sz w:val="24"/>
                <w:szCs w:val="24"/>
              </w:rPr>
              <w:t>Катетер дренажный надлобковый</w:t>
            </w:r>
          </w:p>
          <w:p w:rsidR="00C540A0" w:rsidRPr="00C567B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32.50.13.110-00003234</w:t>
            </w:r>
          </w:p>
        </w:tc>
        <w:tc>
          <w:tcPr>
            <w:tcW w:w="5245" w:type="dxa"/>
            <w:shd w:val="clear" w:color="auto" w:fill="auto"/>
          </w:tcPr>
          <w:p w:rsidR="00C540A0" w:rsidRPr="00C567B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9B66AF">
              <w:rPr>
                <w:sz w:val="24"/>
                <w:szCs w:val="24"/>
              </w:rPr>
              <w:t xml:space="preserve">Катетеры </w:t>
            </w:r>
            <w:proofErr w:type="spellStart"/>
            <w:r w:rsidRPr="009B66AF">
              <w:rPr>
                <w:sz w:val="24"/>
                <w:szCs w:val="24"/>
              </w:rPr>
              <w:t>Фолея</w:t>
            </w:r>
            <w:proofErr w:type="spellEnd"/>
            <w:r w:rsidRPr="009B66AF">
              <w:rPr>
                <w:sz w:val="24"/>
                <w:szCs w:val="24"/>
              </w:rPr>
              <w:t xml:space="preserve"> предназначен</w:t>
            </w:r>
            <w:r>
              <w:rPr>
                <w:sz w:val="24"/>
                <w:szCs w:val="24"/>
              </w:rPr>
              <w:t>ы</w:t>
            </w:r>
            <w:r w:rsidRPr="009B66AF">
              <w:rPr>
                <w:sz w:val="24"/>
                <w:szCs w:val="24"/>
              </w:rPr>
              <w:t xml:space="preserve"> для длительной </w:t>
            </w:r>
            <w:proofErr w:type="spellStart"/>
            <w:r w:rsidRPr="009B66AF">
              <w:rPr>
                <w:sz w:val="24"/>
                <w:szCs w:val="24"/>
              </w:rPr>
              <w:t>катерезации</w:t>
            </w:r>
            <w:proofErr w:type="spellEnd"/>
            <w:r w:rsidRPr="009B66AF">
              <w:rPr>
                <w:sz w:val="24"/>
                <w:szCs w:val="24"/>
              </w:rPr>
              <w:t xml:space="preserve"> мочевого пузыря однократного применения. Изготовлен из высококачественного латекса, покрытого силиконом</w:t>
            </w:r>
            <w:r>
              <w:rPr>
                <w:sz w:val="24"/>
                <w:szCs w:val="24"/>
              </w:rPr>
              <w:t>,</w:t>
            </w:r>
            <w:r w:rsidRPr="009B6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9B66AF">
              <w:rPr>
                <w:sz w:val="24"/>
                <w:szCs w:val="24"/>
              </w:rPr>
              <w:t>меет закрытый конец и два боковых отверстия, 2-х ходовой</w:t>
            </w:r>
            <w:r>
              <w:rPr>
                <w:sz w:val="24"/>
                <w:szCs w:val="24"/>
              </w:rPr>
              <w:t>.</w:t>
            </w:r>
            <w:r w:rsidRPr="009B66AF">
              <w:rPr>
                <w:sz w:val="24"/>
                <w:szCs w:val="24"/>
              </w:rPr>
              <w:t xml:space="preserve"> Размеры по шкале </w:t>
            </w:r>
            <w:proofErr w:type="spellStart"/>
            <w:r w:rsidRPr="009B66AF">
              <w:rPr>
                <w:sz w:val="24"/>
                <w:szCs w:val="24"/>
              </w:rPr>
              <w:t>Шарьера</w:t>
            </w:r>
            <w:proofErr w:type="spellEnd"/>
            <w:r w:rsidRPr="009B66AF">
              <w:rPr>
                <w:sz w:val="24"/>
                <w:szCs w:val="24"/>
              </w:rPr>
              <w:t xml:space="preserve"> от 6 до 26 в зависимости от потребности получателя.</w:t>
            </w:r>
          </w:p>
        </w:tc>
        <w:tc>
          <w:tcPr>
            <w:tcW w:w="1134" w:type="dxa"/>
            <w:shd w:val="clear" w:color="auto" w:fill="auto"/>
          </w:tcPr>
          <w:p w:rsidR="00C540A0" w:rsidRPr="00855A6F" w:rsidRDefault="00C540A0" w:rsidP="00926AC4">
            <w:pPr>
              <w:snapToGrid w:val="0"/>
              <w:jc w:val="center"/>
              <w:rPr>
                <w:sz w:val="24"/>
                <w:szCs w:val="24"/>
              </w:rPr>
            </w:pPr>
            <w:r w:rsidRPr="00855A6F">
              <w:rPr>
                <w:sz w:val="24"/>
                <w:szCs w:val="24"/>
              </w:rPr>
              <w:t>3</w:t>
            </w:r>
            <w:r w:rsidR="00801289">
              <w:rPr>
                <w:sz w:val="24"/>
                <w:szCs w:val="24"/>
              </w:rPr>
              <w:t xml:space="preserve"> </w:t>
            </w:r>
            <w:r w:rsidRPr="00855A6F">
              <w:rPr>
                <w:sz w:val="24"/>
                <w:szCs w:val="24"/>
              </w:rPr>
              <w:t>530</w:t>
            </w:r>
          </w:p>
        </w:tc>
      </w:tr>
      <w:tr w:rsidR="00C540A0" w:rsidRPr="002968FF" w:rsidTr="00C567B0">
        <w:trPr>
          <w:trHeight w:val="303"/>
        </w:trPr>
        <w:tc>
          <w:tcPr>
            <w:tcW w:w="567" w:type="dxa"/>
          </w:tcPr>
          <w:p w:rsidR="00C540A0" w:rsidRDefault="00C540A0" w:rsidP="00C567B0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:rsidR="00C540A0" w:rsidRPr="0048563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 xml:space="preserve">Система (с катетером) для </w:t>
            </w:r>
            <w:proofErr w:type="spellStart"/>
            <w:r w:rsidRPr="00485630">
              <w:rPr>
                <w:sz w:val="24"/>
                <w:szCs w:val="24"/>
              </w:rPr>
              <w:t>нефростомии</w:t>
            </w:r>
            <w:proofErr w:type="spellEnd"/>
            <w:r w:rsidRPr="00485630">
              <w:rPr>
                <w:sz w:val="24"/>
                <w:szCs w:val="24"/>
              </w:rPr>
              <w:tab/>
            </w:r>
          </w:p>
          <w:p w:rsidR="00C540A0" w:rsidRPr="0048563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lastRenderedPageBreak/>
              <w:t>21-01-25</w:t>
            </w:r>
          </w:p>
          <w:p w:rsidR="00C540A0" w:rsidRPr="0048563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C540A0" w:rsidRPr="0048563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 xml:space="preserve">Катетер </w:t>
            </w:r>
            <w:proofErr w:type="spellStart"/>
            <w:r w:rsidRPr="00485630">
              <w:rPr>
                <w:sz w:val="24"/>
                <w:szCs w:val="24"/>
              </w:rPr>
              <w:t>нефростомический</w:t>
            </w:r>
            <w:proofErr w:type="spellEnd"/>
          </w:p>
          <w:p w:rsidR="00C540A0" w:rsidRPr="00EE3E1A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>32.50.13.110-00003233</w:t>
            </w:r>
          </w:p>
        </w:tc>
        <w:tc>
          <w:tcPr>
            <w:tcW w:w="5245" w:type="dxa"/>
            <w:shd w:val="clear" w:color="auto" w:fill="auto"/>
          </w:tcPr>
          <w:p w:rsidR="00C540A0" w:rsidRPr="009B66AF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85630">
              <w:rPr>
                <w:sz w:val="24"/>
                <w:szCs w:val="24"/>
              </w:rPr>
              <w:lastRenderedPageBreak/>
              <w:t>Нефростомический</w:t>
            </w:r>
            <w:proofErr w:type="spellEnd"/>
            <w:r w:rsidRPr="00485630">
              <w:rPr>
                <w:sz w:val="24"/>
                <w:szCs w:val="24"/>
              </w:rPr>
              <w:t xml:space="preserve"> катетер предназначен для выведения мочи из почки. Гибкий, но </w:t>
            </w:r>
            <w:r w:rsidRPr="00485630">
              <w:rPr>
                <w:sz w:val="24"/>
                <w:szCs w:val="24"/>
              </w:rPr>
              <w:lastRenderedPageBreak/>
              <w:t xml:space="preserve">устойчивый к перегибам материал должен обеспечивать максимальный комфорт для получателя, иметь </w:t>
            </w:r>
            <w:proofErr w:type="spellStart"/>
            <w:r w:rsidRPr="00485630">
              <w:rPr>
                <w:sz w:val="24"/>
                <w:szCs w:val="24"/>
              </w:rPr>
              <w:t>атравматичные</w:t>
            </w:r>
            <w:proofErr w:type="spellEnd"/>
            <w:r w:rsidRPr="00485630">
              <w:rPr>
                <w:sz w:val="24"/>
                <w:szCs w:val="24"/>
              </w:rPr>
              <w:t xml:space="preserve"> дренажные отверстия. Размеры в зависимости от потребности получателя.</w:t>
            </w:r>
          </w:p>
        </w:tc>
        <w:tc>
          <w:tcPr>
            <w:tcW w:w="1134" w:type="dxa"/>
            <w:shd w:val="clear" w:color="auto" w:fill="auto"/>
          </w:tcPr>
          <w:p w:rsidR="00C540A0" w:rsidRPr="00855A6F" w:rsidRDefault="00C540A0" w:rsidP="00926A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</w:tr>
      <w:tr w:rsidR="00C540A0" w:rsidRPr="002968FF" w:rsidTr="00C567B0">
        <w:trPr>
          <w:trHeight w:val="303"/>
        </w:trPr>
        <w:tc>
          <w:tcPr>
            <w:tcW w:w="567" w:type="dxa"/>
          </w:tcPr>
          <w:p w:rsidR="00C540A0" w:rsidRDefault="00C540A0" w:rsidP="00C567B0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09" w:type="dxa"/>
            <w:shd w:val="clear" w:color="auto" w:fill="auto"/>
          </w:tcPr>
          <w:p w:rsidR="00C540A0" w:rsidRPr="00485630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 xml:space="preserve">Катетер мочеточниковый для </w:t>
            </w:r>
            <w:proofErr w:type="spellStart"/>
            <w:r w:rsidRPr="00485630">
              <w:rPr>
                <w:sz w:val="24"/>
                <w:szCs w:val="24"/>
              </w:rPr>
              <w:t>уретерокутанеостомы</w:t>
            </w:r>
            <w:proofErr w:type="spellEnd"/>
          </w:p>
          <w:p w:rsidR="00C540A0" w:rsidRPr="00EE3E1A" w:rsidRDefault="00C540A0" w:rsidP="00926AC4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>21-01-26</w:t>
            </w:r>
          </w:p>
        </w:tc>
        <w:tc>
          <w:tcPr>
            <w:tcW w:w="5245" w:type="dxa"/>
            <w:shd w:val="clear" w:color="auto" w:fill="auto"/>
          </w:tcPr>
          <w:p w:rsidR="00C540A0" w:rsidRPr="0048563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 xml:space="preserve">Катетер мочеточниковый для </w:t>
            </w:r>
            <w:proofErr w:type="spellStart"/>
            <w:r w:rsidRPr="00485630">
              <w:rPr>
                <w:sz w:val="24"/>
                <w:szCs w:val="24"/>
              </w:rPr>
              <w:t>уретерокутанеостомы</w:t>
            </w:r>
            <w:proofErr w:type="spellEnd"/>
            <w:r w:rsidRPr="00485630">
              <w:rPr>
                <w:sz w:val="24"/>
                <w:szCs w:val="24"/>
              </w:rPr>
              <w:t xml:space="preserve"> предназначен для постоянного и временного отведения мочи из мочеточника путем дренажа.</w:t>
            </w:r>
          </w:p>
          <w:p w:rsidR="00C540A0" w:rsidRPr="0048563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 xml:space="preserve"> Технические характеристики:</w:t>
            </w:r>
          </w:p>
          <w:p w:rsidR="00C540A0" w:rsidRPr="0048563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>- длина 50 +/-1 см;</w:t>
            </w:r>
          </w:p>
          <w:p w:rsidR="00C540A0" w:rsidRPr="0048563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 xml:space="preserve">- диаметр по шкале </w:t>
            </w:r>
            <w:proofErr w:type="spellStart"/>
            <w:r w:rsidRPr="00485630">
              <w:rPr>
                <w:sz w:val="24"/>
                <w:szCs w:val="24"/>
              </w:rPr>
              <w:t>Шарьера</w:t>
            </w:r>
            <w:proofErr w:type="spellEnd"/>
            <w:r w:rsidRPr="00485630">
              <w:rPr>
                <w:sz w:val="24"/>
                <w:szCs w:val="24"/>
              </w:rPr>
              <w:t xml:space="preserve"> для катетеров подбирается индивидуально в зависимости от потребности получателя;</w:t>
            </w:r>
          </w:p>
          <w:p w:rsidR="00C540A0" w:rsidRPr="0048563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>- наличие дистальных отверстий;</w:t>
            </w:r>
          </w:p>
          <w:p w:rsidR="00C540A0" w:rsidRPr="00485630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>- наличие овального фланца;</w:t>
            </w:r>
          </w:p>
          <w:p w:rsidR="00C540A0" w:rsidRPr="009B66AF" w:rsidRDefault="00C540A0" w:rsidP="00926AC4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485630">
              <w:rPr>
                <w:sz w:val="24"/>
                <w:szCs w:val="24"/>
              </w:rPr>
              <w:t>- материал катетера - силикон.</w:t>
            </w:r>
          </w:p>
        </w:tc>
        <w:tc>
          <w:tcPr>
            <w:tcW w:w="1134" w:type="dxa"/>
            <w:shd w:val="clear" w:color="auto" w:fill="auto"/>
          </w:tcPr>
          <w:p w:rsidR="00C540A0" w:rsidRPr="00855A6F" w:rsidRDefault="00C540A0" w:rsidP="00926A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C540A0" w:rsidRPr="002968FF" w:rsidTr="001653A3">
        <w:trPr>
          <w:trHeight w:val="25"/>
        </w:trPr>
        <w:tc>
          <w:tcPr>
            <w:tcW w:w="8821" w:type="dxa"/>
            <w:gridSpan w:val="3"/>
          </w:tcPr>
          <w:p w:rsidR="00C540A0" w:rsidRPr="002968FF" w:rsidRDefault="00C540A0" w:rsidP="0072221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68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540A0" w:rsidRPr="002968FF" w:rsidRDefault="00C540A0" w:rsidP="00926AC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012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426</w:t>
            </w:r>
          </w:p>
        </w:tc>
      </w:tr>
    </w:tbl>
    <w:p w:rsidR="00790F49" w:rsidRDefault="00790F49" w:rsidP="00D4271A">
      <w:pPr>
        <w:widowControl w:val="0"/>
        <w:suppressAutoHyphens w:val="0"/>
        <w:ind w:firstLine="709"/>
        <w:contextualSpacing/>
        <w:jc w:val="both"/>
      </w:pPr>
    </w:p>
    <w:p w:rsidR="00D4271A" w:rsidRDefault="00D4271A" w:rsidP="00D4271A">
      <w:pPr>
        <w:widowControl w:val="0"/>
        <w:suppressAutoHyphens w:val="0"/>
        <w:ind w:firstLine="709"/>
        <w:contextualSpacing/>
        <w:jc w:val="both"/>
      </w:pPr>
      <w:r w:rsidRPr="00611662">
        <w:t>Требование к формированию лотов при осуществлении закупок медицинских изделий</w:t>
      </w:r>
      <w:r>
        <w:t>, установленное</w:t>
      </w:r>
      <w:r w:rsidRPr="00611662">
        <w:t xml:space="preserve"> Постановление</w:t>
      </w:r>
      <w:r>
        <w:t>м</w:t>
      </w:r>
      <w:r w:rsidRPr="00611662">
        <w:t xml:space="preserve"> Правительства РФ от 19.04.2021 N 620 "О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</w:t>
      </w:r>
      <w:r>
        <w:t>д</w:t>
      </w:r>
      <w:r w:rsidRPr="00611662">
        <w:t>"</w:t>
      </w:r>
      <w:r>
        <w:t xml:space="preserve"> не применяется, так как о</w:t>
      </w:r>
      <w:r w:rsidRPr="00611662">
        <w:t>бъем денежных средств, направленных</w:t>
      </w:r>
      <w:r>
        <w:t xml:space="preserve"> </w:t>
      </w:r>
      <w:r w:rsidRPr="00611662">
        <w:t>государственным заказчиком на закупку медицинских изделий в предшествующем году, составил более 100 млн. рублей</w:t>
      </w:r>
      <w:r>
        <w:t>.</w:t>
      </w:r>
    </w:p>
    <w:p w:rsidR="00931F86" w:rsidRDefault="00931F86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B63B50" w:rsidRDefault="00CF0DEE" w:rsidP="00235ABD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0707E6" w:rsidRPr="000707E6">
        <w:rPr>
          <w:b/>
          <w:sz w:val="24"/>
          <w:szCs w:val="24"/>
          <w:lang w:eastAsia="ru-RU"/>
        </w:rPr>
        <w:t>.</w:t>
      </w:r>
      <w:r w:rsidR="000707E6" w:rsidRPr="000707E6">
        <w:rPr>
          <w:b/>
          <w:sz w:val="24"/>
          <w:szCs w:val="24"/>
          <w:lang w:eastAsia="ru-RU"/>
        </w:rPr>
        <w:tab/>
      </w:r>
      <w:r w:rsidR="00D4271A" w:rsidRPr="00D4271A">
        <w:rPr>
          <w:b/>
          <w:sz w:val="24"/>
          <w:szCs w:val="24"/>
          <w:lang w:eastAsia="ru-RU"/>
        </w:rPr>
        <w:t>Требования к упаковке, маркировке</w:t>
      </w:r>
      <w:r w:rsidR="00D4271A">
        <w:rPr>
          <w:b/>
          <w:sz w:val="24"/>
          <w:szCs w:val="24"/>
          <w:lang w:eastAsia="ru-RU"/>
        </w:rPr>
        <w:t xml:space="preserve"> и</w:t>
      </w:r>
      <w:r w:rsidR="00D4271A" w:rsidRPr="00D4271A">
        <w:rPr>
          <w:b/>
          <w:sz w:val="24"/>
          <w:szCs w:val="24"/>
          <w:lang w:eastAsia="ru-RU"/>
        </w:rPr>
        <w:t xml:space="preserve"> отгрузке товара</w:t>
      </w:r>
      <w:r w:rsidR="00235ABD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На Товаре не допускаются механические повреждения (разрыв края, разрезы) видимые невооруженным глазом.</w:t>
      </w:r>
    </w:p>
    <w:p w:rsidR="00D4271A" w:rsidRPr="00D4271A" w:rsidRDefault="00790F49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790F49">
        <w:rPr>
          <w:rFonts w:eastAsia="Lucida Sans Unicode"/>
          <w:bCs/>
          <w:kern w:val="2"/>
          <w:sz w:val="24"/>
        </w:rPr>
        <w:t>Специальные средства при нарушении функций выделения должны быть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</w:t>
      </w:r>
      <w:r w:rsidR="00D4271A" w:rsidRPr="00D4271A">
        <w:rPr>
          <w:rFonts w:eastAsia="Lucida Sans Unicode"/>
          <w:bCs/>
          <w:kern w:val="2"/>
          <w:sz w:val="24"/>
        </w:rPr>
        <w:t xml:space="preserve"> 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Маркировка на упаковке должна содержать: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страну - изготовителя;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наименование предприятия -</w:t>
      </w:r>
      <w:r>
        <w:rPr>
          <w:rFonts w:eastAsia="Lucida Sans Unicode"/>
          <w:bCs/>
          <w:kern w:val="2"/>
          <w:sz w:val="24"/>
        </w:rPr>
        <w:t xml:space="preserve"> </w:t>
      </w:r>
      <w:r w:rsidRPr="00D4271A">
        <w:rPr>
          <w:rFonts w:eastAsia="Lucida Sans Unicode"/>
          <w:bCs/>
          <w:kern w:val="2"/>
          <w:sz w:val="24"/>
        </w:rPr>
        <w:t>изготовителя, юридический адрес, товарный знак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-отличительные характеристики изделий в соответствии с их техническим исполнением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номер артикула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количество изделий в упаковке;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дату (месяц, год) изготовления или гарантийный срок годности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правила пользования (при необходимости);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штриховой код изделия (при наличии);</w:t>
      </w:r>
    </w:p>
    <w:p w:rsidR="00D4271A" w:rsidRPr="007B2DC3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информацию о сертификации (при наличии)</w:t>
      </w:r>
      <w:r w:rsidR="007B2DC3" w:rsidRPr="007B2DC3">
        <w:rPr>
          <w:rFonts w:eastAsia="Lucida Sans Unicode"/>
          <w:bCs/>
          <w:kern w:val="2"/>
          <w:sz w:val="24"/>
        </w:rPr>
        <w:t xml:space="preserve">. </w:t>
      </w:r>
    </w:p>
    <w:p w:rsidR="00C00E6D" w:rsidRPr="007A1590" w:rsidRDefault="00CF0DEE" w:rsidP="007A1590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  <w:r>
        <w:rPr>
          <w:rFonts w:eastAsia="Lucida Sans Unicode"/>
          <w:b/>
          <w:bCs/>
          <w:kern w:val="2"/>
          <w:sz w:val="24"/>
        </w:rPr>
        <w:t>4</w:t>
      </w:r>
      <w:r w:rsidR="007A1590" w:rsidRPr="007A1590">
        <w:rPr>
          <w:rFonts w:eastAsia="Lucida Sans Unicode"/>
          <w:b/>
          <w:bCs/>
          <w:kern w:val="2"/>
          <w:sz w:val="24"/>
        </w:rPr>
        <w:t>.</w:t>
      </w:r>
      <w:r w:rsidR="007A1590">
        <w:rPr>
          <w:rFonts w:eastAsia="Lucida Sans Unicode"/>
          <w:b/>
          <w:bCs/>
          <w:kern w:val="2"/>
          <w:sz w:val="24"/>
        </w:rPr>
        <w:t xml:space="preserve"> </w:t>
      </w:r>
      <w:r w:rsidR="0050229B" w:rsidRPr="007A1590">
        <w:rPr>
          <w:rFonts w:eastAsia="Lucida Sans Unicode"/>
          <w:b/>
          <w:bCs/>
          <w:kern w:val="2"/>
          <w:sz w:val="24"/>
        </w:rPr>
        <w:t>Требования к качеству и</w:t>
      </w:r>
      <w:r w:rsidR="00E01C34" w:rsidRPr="007A1590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50229B" w:rsidRPr="007A1590">
        <w:rPr>
          <w:rFonts w:eastAsia="Lucida Sans Unicode"/>
          <w:b/>
          <w:bCs/>
          <w:kern w:val="2"/>
          <w:sz w:val="24"/>
        </w:rPr>
        <w:t xml:space="preserve"> </w:t>
      </w:r>
      <w:r w:rsidR="00E01C34" w:rsidRPr="007A1590">
        <w:rPr>
          <w:rFonts w:eastAsia="Lucida Sans Unicode"/>
          <w:b/>
          <w:bCs/>
          <w:kern w:val="2"/>
          <w:sz w:val="24"/>
        </w:rPr>
        <w:t>товара: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>Товар должен соответствовать требованиям Национальных стандартов: ГОСТ Р 52770-2016 «Изделия медицинские. Требования безопасности. Методы санитарно-химических и токсикологических испытаний», ГОСТ Р 58235-2022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>Специальные средства при нарушении функции выделения. Термины и определения. Классификация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, ГОСТ Р 58237-2022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 xml:space="preserve">Средства ухода за кишечными </w:t>
      </w:r>
      <w:proofErr w:type="spellStart"/>
      <w:r w:rsidRPr="00D4271A">
        <w:rPr>
          <w:bCs/>
          <w:sz w:val="24"/>
          <w:szCs w:val="24"/>
          <w:lang w:eastAsia="ru-RU"/>
        </w:rPr>
        <w:t>стомами</w:t>
      </w:r>
      <w:proofErr w:type="spellEnd"/>
      <w:r w:rsidRPr="00D4271A">
        <w:rPr>
          <w:bCs/>
          <w:sz w:val="24"/>
          <w:szCs w:val="24"/>
          <w:lang w:eastAsia="ru-RU"/>
        </w:rPr>
        <w:t xml:space="preserve">: калоприемники, вспомогательные средства и средства ухода за </w:t>
      </w:r>
      <w:r w:rsidRPr="00D4271A">
        <w:rPr>
          <w:bCs/>
          <w:sz w:val="24"/>
          <w:szCs w:val="24"/>
          <w:lang w:eastAsia="ru-RU"/>
        </w:rPr>
        <w:lastRenderedPageBreak/>
        <w:t xml:space="preserve">кожей вокруг </w:t>
      </w:r>
      <w:proofErr w:type="spellStart"/>
      <w:r w:rsidRPr="00D4271A">
        <w:rPr>
          <w:bCs/>
          <w:sz w:val="24"/>
          <w:szCs w:val="24"/>
          <w:lang w:eastAsia="ru-RU"/>
        </w:rPr>
        <w:t>стомы</w:t>
      </w:r>
      <w:proofErr w:type="spellEnd"/>
      <w:r w:rsidRPr="00D4271A">
        <w:rPr>
          <w:bCs/>
          <w:sz w:val="24"/>
          <w:szCs w:val="24"/>
          <w:lang w:eastAsia="ru-RU"/>
        </w:rPr>
        <w:t>. Характеристики и основные требования. Методы испытаний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; Межгосударственных стандартов: ГОСТ ISO 10993-1-20</w:t>
      </w:r>
      <w:r>
        <w:rPr>
          <w:bCs/>
          <w:sz w:val="24"/>
          <w:szCs w:val="24"/>
          <w:lang w:eastAsia="ru-RU"/>
        </w:rPr>
        <w:t>21</w:t>
      </w:r>
      <w:r w:rsidRPr="00D4271A">
        <w:rPr>
          <w:bCs/>
          <w:sz w:val="24"/>
          <w:szCs w:val="24"/>
          <w:lang w:eastAsia="ru-RU"/>
        </w:rPr>
        <w:t xml:space="preserve"> «Изделия медицинские. Оценка биологического действия медицинских изделий. Часть 1. Оценка и исследован</w:t>
      </w:r>
      <w:r w:rsidR="006F46ED">
        <w:rPr>
          <w:bCs/>
          <w:sz w:val="24"/>
          <w:szCs w:val="24"/>
          <w:lang w:eastAsia="ru-RU"/>
        </w:rPr>
        <w:t>ия в процессе менеджмента риска</w:t>
      </w:r>
      <w:r w:rsidRPr="00D4271A">
        <w:rPr>
          <w:bCs/>
          <w:sz w:val="24"/>
          <w:szCs w:val="24"/>
          <w:lang w:eastAsia="ru-RU"/>
        </w:rPr>
        <w:t xml:space="preserve">», ГОСТ ISO 10993-5-2011 «Оценка биологического действия медицинских изделий. Часть 5. Исследования на </w:t>
      </w:r>
      <w:proofErr w:type="spellStart"/>
      <w:r w:rsidRPr="00D4271A">
        <w:rPr>
          <w:bCs/>
          <w:sz w:val="24"/>
          <w:szCs w:val="24"/>
          <w:lang w:eastAsia="ru-RU"/>
        </w:rPr>
        <w:t>цитотоксичность</w:t>
      </w:r>
      <w:proofErr w:type="spellEnd"/>
      <w:r w:rsidRPr="00D4271A">
        <w:rPr>
          <w:bCs/>
          <w:sz w:val="24"/>
          <w:szCs w:val="24"/>
          <w:lang w:eastAsia="ru-RU"/>
        </w:rPr>
        <w:t xml:space="preserve">: методы </w:t>
      </w:r>
      <w:proofErr w:type="spellStart"/>
      <w:r w:rsidRPr="00D4271A">
        <w:rPr>
          <w:bCs/>
          <w:sz w:val="24"/>
          <w:szCs w:val="24"/>
          <w:lang w:eastAsia="ru-RU"/>
        </w:rPr>
        <w:t>in</w:t>
      </w:r>
      <w:proofErr w:type="spellEnd"/>
      <w:r w:rsidRPr="00D4271A">
        <w:rPr>
          <w:bCs/>
          <w:sz w:val="24"/>
          <w:szCs w:val="24"/>
          <w:lang w:eastAsia="ru-RU"/>
        </w:rPr>
        <w:t xml:space="preserve"> </w:t>
      </w:r>
      <w:proofErr w:type="spellStart"/>
      <w:r w:rsidRPr="00D4271A">
        <w:rPr>
          <w:bCs/>
          <w:sz w:val="24"/>
          <w:szCs w:val="24"/>
          <w:lang w:eastAsia="ru-RU"/>
        </w:rPr>
        <w:t>vitro</w:t>
      </w:r>
      <w:proofErr w:type="spellEnd"/>
      <w:r w:rsidRPr="00D4271A">
        <w:rPr>
          <w:bCs/>
          <w:sz w:val="24"/>
          <w:szCs w:val="24"/>
          <w:lang w:eastAsia="ru-RU"/>
        </w:rPr>
        <w:t>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D4271A" w:rsidRPr="00D4271A" w:rsidRDefault="006F46ED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D4271A" w:rsidRPr="00D4271A">
        <w:rPr>
          <w:bCs/>
          <w:sz w:val="24"/>
          <w:szCs w:val="24"/>
          <w:lang w:eastAsia="ru-RU"/>
        </w:rPr>
        <w:t xml:space="preserve">Конструкция </w:t>
      </w:r>
      <w:r>
        <w:rPr>
          <w:bCs/>
          <w:sz w:val="24"/>
          <w:szCs w:val="24"/>
          <w:lang w:eastAsia="ru-RU"/>
        </w:rPr>
        <w:t>с</w:t>
      </w:r>
      <w:r w:rsidRPr="006F46ED">
        <w:rPr>
          <w:bCs/>
          <w:sz w:val="24"/>
          <w:szCs w:val="24"/>
          <w:lang w:eastAsia="ru-RU"/>
        </w:rPr>
        <w:t>пециальны</w:t>
      </w:r>
      <w:r>
        <w:rPr>
          <w:bCs/>
          <w:sz w:val="24"/>
          <w:szCs w:val="24"/>
          <w:lang w:eastAsia="ru-RU"/>
        </w:rPr>
        <w:t>х</w:t>
      </w:r>
      <w:r w:rsidRPr="006F46ED">
        <w:rPr>
          <w:bCs/>
          <w:sz w:val="24"/>
          <w:szCs w:val="24"/>
          <w:lang w:eastAsia="ru-RU"/>
        </w:rPr>
        <w:t xml:space="preserve"> средств при нарушении функций выделения </w:t>
      </w:r>
      <w:r w:rsidR="00D4271A" w:rsidRPr="00D4271A">
        <w:rPr>
          <w:bCs/>
          <w:sz w:val="24"/>
          <w:szCs w:val="24"/>
          <w:lang w:eastAsia="ru-RU"/>
        </w:rPr>
        <w:t>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 xml:space="preserve">-герметичность;                                                                                                                                                 </w:t>
      </w:r>
      <w:r w:rsidRPr="00D4271A">
        <w:rPr>
          <w:bCs/>
          <w:sz w:val="24"/>
          <w:szCs w:val="24"/>
          <w:lang w:eastAsia="ru-RU"/>
        </w:rPr>
        <w:tab/>
      </w:r>
      <w:r w:rsidR="006F46ED">
        <w:rPr>
          <w:bCs/>
          <w:sz w:val="24"/>
          <w:szCs w:val="24"/>
          <w:lang w:eastAsia="ru-RU"/>
        </w:rPr>
        <w:t xml:space="preserve">            </w:t>
      </w:r>
      <w:r w:rsidRPr="00D4271A">
        <w:rPr>
          <w:bCs/>
          <w:sz w:val="24"/>
          <w:szCs w:val="24"/>
          <w:lang w:eastAsia="ru-RU"/>
        </w:rPr>
        <w:t>- прочность прикрепления;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          - безопасность для кожных покровов;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эстетичность;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незаметность;</w:t>
      </w:r>
    </w:p>
    <w:p w:rsidR="006F46ED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 xml:space="preserve">- полная изоляция содержимого от внешней среды и одежды </w:t>
      </w:r>
      <w:r w:rsidR="00A21066">
        <w:rPr>
          <w:bCs/>
          <w:sz w:val="24"/>
          <w:szCs w:val="24"/>
          <w:lang w:eastAsia="ru-RU"/>
        </w:rPr>
        <w:t>получателя</w:t>
      </w:r>
      <w:r w:rsidRPr="00D4271A">
        <w:rPr>
          <w:bCs/>
          <w:sz w:val="24"/>
          <w:szCs w:val="24"/>
          <w:lang w:eastAsia="ru-RU"/>
        </w:rPr>
        <w:t>.</w:t>
      </w:r>
    </w:p>
    <w:p w:rsidR="00D4271A" w:rsidRPr="00D4271A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Сырье и материалы для изготовления </w:t>
      </w:r>
      <w:r w:rsidR="00B96314" w:rsidRPr="00B96314">
        <w:rPr>
          <w:bCs/>
          <w:sz w:val="24"/>
          <w:szCs w:val="24"/>
          <w:lang w:eastAsia="ru-RU"/>
        </w:rPr>
        <w:t xml:space="preserve">специальных средств при нарушении функций выделения </w:t>
      </w:r>
      <w:r w:rsidRPr="00D4271A">
        <w:rPr>
          <w:bCs/>
          <w:sz w:val="24"/>
          <w:szCs w:val="24"/>
          <w:lang w:eastAsia="ru-RU"/>
        </w:rPr>
        <w:t>должны быть разрешены к применению Федеральной службой по надзору в сфере защиты прав потребителей и благополучия человека.</w:t>
      </w:r>
      <w:r w:rsidRPr="00D4271A">
        <w:rPr>
          <w:bCs/>
          <w:sz w:val="24"/>
          <w:szCs w:val="24"/>
          <w:lang w:eastAsia="ru-RU"/>
        </w:rPr>
        <w:tab/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Срок годности Товара, установленный производителем на момент выдачи получателям должен составлять </w:t>
      </w:r>
      <w:r w:rsidR="005E27D7">
        <w:rPr>
          <w:bCs/>
          <w:sz w:val="24"/>
          <w:szCs w:val="24"/>
          <w:lang w:eastAsia="ru-RU"/>
        </w:rPr>
        <w:t>12</w:t>
      </w:r>
      <w:r w:rsidRPr="00D4271A">
        <w:rPr>
          <w:bCs/>
          <w:sz w:val="24"/>
          <w:szCs w:val="24"/>
          <w:lang w:eastAsia="ru-RU"/>
        </w:rPr>
        <w:t xml:space="preserve"> месяц</w:t>
      </w:r>
      <w:r w:rsidR="005E27D7">
        <w:rPr>
          <w:bCs/>
          <w:sz w:val="24"/>
          <w:szCs w:val="24"/>
          <w:lang w:eastAsia="ru-RU"/>
        </w:rPr>
        <w:t>ев</w:t>
      </w:r>
      <w:r w:rsidRPr="00D4271A">
        <w:rPr>
          <w:bCs/>
          <w:sz w:val="24"/>
          <w:szCs w:val="24"/>
          <w:lang w:eastAsia="ru-RU"/>
        </w:rPr>
        <w:t>.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>Товар</w:t>
      </w:r>
      <w:r w:rsidR="00DA0814">
        <w:rPr>
          <w:bCs/>
          <w:sz w:val="24"/>
          <w:szCs w:val="24"/>
          <w:lang w:eastAsia="ru-RU"/>
        </w:rPr>
        <w:t>ы</w:t>
      </w:r>
      <w:r w:rsidR="00303D3C">
        <w:rPr>
          <w:bCs/>
          <w:sz w:val="24"/>
          <w:szCs w:val="24"/>
          <w:lang w:eastAsia="ru-RU"/>
        </w:rPr>
        <w:t xml:space="preserve"> </w:t>
      </w:r>
      <w:r w:rsidRPr="00D4271A">
        <w:rPr>
          <w:bCs/>
          <w:sz w:val="24"/>
          <w:szCs w:val="24"/>
          <w:lang w:eastAsia="ru-RU"/>
        </w:rPr>
        <w:t>должн</w:t>
      </w:r>
      <w:r w:rsidR="00DA0814">
        <w:rPr>
          <w:bCs/>
          <w:sz w:val="24"/>
          <w:szCs w:val="24"/>
          <w:lang w:eastAsia="ru-RU"/>
        </w:rPr>
        <w:t>ы</w:t>
      </w:r>
      <w:r w:rsidRPr="00D4271A">
        <w:rPr>
          <w:bCs/>
          <w:sz w:val="24"/>
          <w:szCs w:val="24"/>
          <w:lang w:eastAsia="ru-RU"/>
        </w:rPr>
        <w:t xml:space="preserve"> иметь действующ</w:t>
      </w:r>
      <w:r w:rsidR="00303D3C">
        <w:rPr>
          <w:bCs/>
          <w:sz w:val="24"/>
          <w:szCs w:val="24"/>
          <w:lang w:eastAsia="ru-RU"/>
        </w:rPr>
        <w:t>ие</w:t>
      </w:r>
      <w:r w:rsidRPr="00D4271A">
        <w:rPr>
          <w:bCs/>
          <w:sz w:val="24"/>
          <w:szCs w:val="24"/>
          <w:lang w:eastAsia="ru-RU"/>
        </w:rPr>
        <w:t xml:space="preserve"> регистрационн</w:t>
      </w:r>
      <w:r w:rsidR="00303D3C">
        <w:rPr>
          <w:bCs/>
          <w:sz w:val="24"/>
          <w:szCs w:val="24"/>
          <w:lang w:eastAsia="ru-RU"/>
        </w:rPr>
        <w:t>ые</w:t>
      </w:r>
      <w:r w:rsidRPr="00D4271A">
        <w:rPr>
          <w:bCs/>
          <w:sz w:val="24"/>
          <w:szCs w:val="24"/>
          <w:lang w:eastAsia="ru-RU"/>
        </w:rPr>
        <w:t xml:space="preserve"> удостоверени</w:t>
      </w:r>
      <w:r w:rsidR="00303D3C">
        <w:rPr>
          <w:bCs/>
          <w:sz w:val="24"/>
          <w:szCs w:val="24"/>
          <w:lang w:eastAsia="ru-RU"/>
        </w:rPr>
        <w:t>я</w:t>
      </w:r>
      <w:r w:rsidRPr="00D4271A">
        <w:rPr>
          <w:bCs/>
          <w:sz w:val="24"/>
          <w:szCs w:val="24"/>
          <w:lang w:eastAsia="ru-RU"/>
        </w:rPr>
        <w:t>, выданн</w:t>
      </w:r>
      <w:r w:rsidR="00303D3C">
        <w:rPr>
          <w:bCs/>
          <w:sz w:val="24"/>
          <w:szCs w:val="24"/>
          <w:lang w:eastAsia="ru-RU"/>
        </w:rPr>
        <w:t>ы</w:t>
      </w:r>
      <w:r w:rsidRPr="00D4271A">
        <w:rPr>
          <w:bCs/>
          <w:sz w:val="24"/>
          <w:szCs w:val="24"/>
          <w:lang w:eastAsia="ru-RU"/>
        </w:rPr>
        <w:t>е Федеральной службой по надзору в сфере здравоохранения.</w:t>
      </w:r>
    </w:p>
    <w:sectPr w:rsidR="00D4271A" w:rsidRPr="00D4271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1F"/>
    <w:rsid w:val="000045EB"/>
    <w:rsid w:val="0000653E"/>
    <w:rsid w:val="00012507"/>
    <w:rsid w:val="000213E9"/>
    <w:rsid w:val="00042BDF"/>
    <w:rsid w:val="000707E6"/>
    <w:rsid w:val="00080FB1"/>
    <w:rsid w:val="000814FF"/>
    <w:rsid w:val="00084C79"/>
    <w:rsid w:val="000B0328"/>
    <w:rsid w:val="000B46FC"/>
    <w:rsid w:val="000C10B0"/>
    <w:rsid w:val="000C59C7"/>
    <w:rsid w:val="000D2C2D"/>
    <w:rsid w:val="000D36DD"/>
    <w:rsid w:val="000D68AF"/>
    <w:rsid w:val="000E757D"/>
    <w:rsid w:val="000E7963"/>
    <w:rsid w:val="00101DFF"/>
    <w:rsid w:val="0011366E"/>
    <w:rsid w:val="00115EDE"/>
    <w:rsid w:val="00151526"/>
    <w:rsid w:val="0015581C"/>
    <w:rsid w:val="001567EC"/>
    <w:rsid w:val="00156860"/>
    <w:rsid w:val="001620E9"/>
    <w:rsid w:val="001653A3"/>
    <w:rsid w:val="00190819"/>
    <w:rsid w:val="00192F78"/>
    <w:rsid w:val="001A10C4"/>
    <w:rsid w:val="001A4D7C"/>
    <w:rsid w:val="001C75D5"/>
    <w:rsid w:val="001D4B14"/>
    <w:rsid w:val="001F1DF6"/>
    <w:rsid w:val="001F1E4C"/>
    <w:rsid w:val="00227144"/>
    <w:rsid w:val="00235ABD"/>
    <w:rsid w:val="0023639C"/>
    <w:rsid w:val="0024333A"/>
    <w:rsid w:val="00244898"/>
    <w:rsid w:val="0024717E"/>
    <w:rsid w:val="0025360F"/>
    <w:rsid w:val="00273CFE"/>
    <w:rsid w:val="00274B51"/>
    <w:rsid w:val="00287AF1"/>
    <w:rsid w:val="002968FF"/>
    <w:rsid w:val="002A7A1E"/>
    <w:rsid w:val="002B331D"/>
    <w:rsid w:val="002E49EC"/>
    <w:rsid w:val="002E5197"/>
    <w:rsid w:val="002F21A9"/>
    <w:rsid w:val="00303D3C"/>
    <w:rsid w:val="00306D6C"/>
    <w:rsid w:val="00307CE5"/>
    <w:rsid w:val="00320DA3"/>
    <w:rsid w:val="0033087A"/>
    <w:rsid w:val="003321E2"/>
    <w:rsid w:val="00334B31"/>
    <w:rsid w:val="00340F4D"/>
    <w:rsid w:val="0034273E"/>
    <w:rsid w:val="00350F6A"/>
    <w:rsid w:val="00352ADF"/>
    <w:rsid w:val="00357735"/>
    <w:rsid w:val="0037502D"/>
    <w:rsid w:val="00375767"/>
    <w:rsid w:val="003A68C3"/>
    <w:rsid w:val="003B6434"/>
    <w:rsid w:val="003B7380"/>
    <w:rsid w:val="003D31D5"/>
    <w:rsid w:val="003D3742"/>
    <w:rsid w:val="003D6134"/>
    <w:rsid w:val="003D770C"/>
    <w:rsid w:val="003F39FF"/>
    <w:rsid w:val="003F3BB4"/>
    <w:rsid w:val="003F417C"/>
    <w:rsid w:val="00401069"/>
    <w:rsid w:val="0043492F"/>
    <w:rsid w:val="00437EA1"/>
    <w:rsid w:val="00450676"/>
    <w:rsid w:val="00450797"/>
    <w:rsid w:val="004564A0"/>
    <w:rsid w:val="004606B0"/>
    <w:rsid w:val="004825A3"/>
    <w:rsid w:val="004834CE"/>
    <w:rsid w:val="00484532"/>
    <w:rsid w:val="00486BF7"/>
    <w:rsid w:val="004A1D8E"/>
    <w:rsid w:val="004D4770"/>
    <w:rsid w:val="004D5775"/>
    <w:rsid w:val="004F13DD"/>
    <w:rsid w:val="004F2238"/>
    <w:rsid w:val="0050229B"/>
    <w:rsid w:val="00505605"/>
    <w:rsid w:val="005059C3"/>
    <w:rsid w:val="00523BE1"/>
    <w:rsid w:val="0052741C"/>
    <w:rsid w:val="005342EE"/>
    <w:rsid w:val="005837E1"/>
    <w:rsid w:val="0059487E"/>
    <w:rsid w:val="00594F6B"/>
    <w:rsid w:val="005977AA"/>
    <w:rsid w:val="005A2772"/>
    <w:rsid w:val="005A5E35"/>
    <w:rsid w:val="005B30F7"/>
    <w:rsid w:val="005B7E9A"/>
    <w:rsid w:val="005C0493"/>
    <w:rsid w:val="005C4548"/>
    <w:rsid w:val="005D0B1E"/>
    <w:rsid w:val="005D0ECD"/>
    <w:rsid w:val="005E27D7"/>
    <w:rsid w:val="005E6C71"/>
    <w:rsid w:val="005F0D9D"/>
    <w:rsid w:val="005F2654"/>
    <w:rsid w:val="00603688"/>
    <w:rsid w:val="00607058"/>
    <w:rsid w:val="00617185"/>
    <w:rsid w:val="00624317"/>
    <w:rsid w:val="00644A6D"/>
    <w:rsid w:val="006610AE"/>
    <w:rsid w:val="00661A59"/>
    <w:rsid w:val="00662073"/>
    <w:rsid w:val="00667BF0"/>
    <w:rsid w:val="006A7035"/>
    <w:rsid w:val="006C1AE6"/>
    <w:rsid w:val="006D1C91"/>
    <w:rsid w:val="006E2B9C"/>
    <w:rsid w:val="006F46ED"/>
    <w:rsid w:val="0070614B"/>
    <w:rsid w:val="00706EF6"/>
    <w:rsid w:val="00713703"/>
    <w:rsid w:val="0071635B"/>
    <w:rsid w:val="00720191"/>
    <w:rsid w:val="0072221F"/>
    <w:rsid w:val="007237FE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90F49"/>
    <w:rsid w:val="007A1590"/>
    <w:rsid w:val="007B2DC3"/>
    <w:rsid w:val="007B3246"/>
    <w:rsid w:val="007C6E42"/>
    <w:rsid w:val="007D584A"/>
    <w:rsid w:val="007F4E52"/>
    <w:rsid w:val="007F7293"/>
    <w:rsid w:val="00801289"/>
    <w:rsid w:val="00802250"/>
    <w:rsid w:val="008043A2"/>
    <w:rsid w:val="00805DA2"/>
    <w:rsid w:val="00806E5F"/>
    <w:rsid w:val="0081199B"/>
    <w:rsid w:val="00820AB3"/>
    <w:rsid w:val="00821B42"/>
    <w:rsid w:val="0087220D"/>
    <w:rsid w:val="008A6906"/>
    <w:rsid w:val="008C63EA"/>
    <w:rsid w:val="008D6D1A"/>
    <w:rsid w:val="008E38D2"/>
    <w:rsid w:val="008E5855"/>
    <w:rsid w:val="008F673E"/>
    <w:rsid w:val="00901DD3"/>
    <w:rsid w:val="00912016"/>
    <w:rsid w:val="00921ED5"/>
    <w:rsid w:val="00922BDE"/>
    <w:rsid w:val="009240A0"/>
    <w:rsid w:val="00926475"/>
    <w:rsid w:val="00930659"/>
    <w:rsid w:val="00931F56"/>
    <w:rsid w:val="00931F86"/>
    <w:rsid w:val="0093247F"/>
    <w:rsid w:val="009421C5"/>
    <w:rsid w:val="00942D5E"/>
    <w:rsid w:val="009552DA"/>
    <w:rsid w:val="00964F0D"/>
    <w:rsid w:val="009A005C"/>
    <w:rsid w:val="009A32C3"/>
    <w:rsid w:val="009A58CE"/>
    <w:rsid w:val="009B1F40"/>
    <w:rsid w:val="009B2C34"/>
    <w:rsid w:val="009B66AF"/>
    <w:rsid w:val="009C4B20"/>
    <w:rsid w:val="009C5CEE"/>
    <w:rsid w:val="009D7344"/>
    <w:rsid w:val="00A001BC"/>
    <w:rsid w:val="00A0336D"/>
    <w:rsid w:val="00A21066"/>
    <w:rsid w:val="00A27445"/>
    <w:rsid w:val="00A36CB0"/>
    <w:rsid w:val="00A44ADC"/>
    <w:rsid w:val="00A53A6D"/>
    <w:rsid w:val="00A604C0"/>
    <w:rsid w:val="00A80F91"/>
    <w:rsid w:val="00A93DCD"/>
    <w:rsid w:val="00A93E07"/>
    <w:rsid w:val="00AA5CBB"/>
    <w:rsid w:val="00AB5046"/>
    <w:rsid w:val="00AC6707"/>
    <w:rsid w:val="00AD45CD"/>
    <w:rsid w:val="00AD6C5F"/>
    <w:rsid w:val="00AF1428"/>
    <w:rsid w:val="00AF20D7"/>
    <w:rsid w:val="00B06439"/>
    <w:rsid w:val="00B11840"/>
    <w:rsid w:val="00B133E2"/>
    <w:rsid w:val="00B16071"/>
    <w:rsid w:val="00B3669C"/>
    <w:rsid w:val="00B36D4F"/>
    <w:rsid w:val="00B42777"/>
    <w:rsid w:val="00B4286A"/>
    <w:rsid w:val="00B45A2E"/>
    <w:rsid w:val="00B54FC3"/>
    <w:rsid w:val="00B63B50"/>
    <w:rsid w:val="00B73590"/>
    <w:rsid w:val="00B76CE8"/>
    <w:rsid w:val="00B7748D"/>
    <w:rsid w:val="00B93F1F"/>
    <w:rsid w:val="00B96314"/>
    <w:rsid w:val="00C00E6D"/>
    <w:rsid w:val="00C01066"/>
    <w:rsid w:val="00C02782"/>
    <w:rsid w:val="00C05ADC"/>
    <w:rsid w:val="00C06866"/>
    <w:rsid w:val="00C143D2"/>
    <w:rsid w:val="00C24098"/>
    <w:rsid w:val="00C342A8"/>
    <w:rsid w:val="00C40AD5"/>
    <w:rsid w:val="00C42394"/>
    <w:rsid w:val="00C46C58"/>
    <w:rsid w:val="00C47ACD"/>
    <w:rsid w:val="00C540A0"/>
    <w:rsid w:val="00C567B0"/>
    <w:rsid w:val="00C70809"/>
    <w:rsid w:val="00C70AB6"/>
    <w:rsid w:val="00C87815"/>
    <w:rsid w:val="00C941F0"/>
    <w:rsid w:val="00CD0250"/>
    <w:rsid w:val="00CE68B2"/>
    <w:rsid w:val="00CF0DEE"/>
    <w:rsid w:val="00CF6E35"/>
    <w:rsid w:val="00D02F58"/>
    <w:rsid w:val="00D14E43"/>
    <w:rsid w:val="00D205A3"/>
    <w:rsid w:val="00D24EBE"/>
    <w:rsid w:val="00D262A6"/>
    <w:rsid w:val="00D4271A"/>
    <w:rsid w:val="00D63363"/>
    <w:rsid w:val="00D635E8"/>
    <w:rsid w:val="00D81FAE"/>
    <w:rsid w:val="00DA0814"/>
    <w:rsid w:val="00DA146B"/>
    <w:rsid w:val="00DA46F8"/>
    <w:rsid w:val="00DA4EBF"/>
    <w:rsid w:val="00DA50DD"/>
    <w:rsid w:val="00DC05B7"/>
    <w:rsid w:val="00DD487F"/>
    <w:rsid w:val="00DE0A52"/>
    <w:rsid w:val="00DF4EDF"/>
    <w:rsid w:val="00E00431"/>
    <w:rsid w:val="00E01C34"/>
    <w:rsid w:val="00E02F8A"/>
    <w:rsid w:val="00E068A6"/>
    <w:rsid w:val="00E1127A"/>
    <w:rsid w:val="00E17715"/>
    <w:rsid w:val="00E21EC0"/>
    <w:rsid w:val="00E4370E"/>
    <w:rsid w:val="00E46F45"/>
    <w:rsid w:val="00E5078C"/>
    <w:rsid w:val="00E55BFF"/>
    <w:rsid w:val="00E56E44"/>
    <w:rsid w:val="00E664CC"/>
    <w:rsid w:val="00E715DA"/>
    <w:rsid w:val="00E7728C"/>
    <w:rsid w:val="00E77A1F"/>
    <w:rsid w:val="00E9183C"/>
    <w:rsid w:val="00E918D3"/>
    <w:rsid w:val="00E95693"/>
    <w:rsid w:val="00EB12C3"/>
    <w:rsid w:val="00EC1C8B"/>
    <w:rsid w:val="00EC7083"/>
    <w:rsid w:val="00ED4322"/>
    <w:rsid w:val="00EE3E1A"/>
    <w:rsid w:val="00EE6828"/>
    <w:rsid w:val="00F00168"/>
    <w:rsid w:val="00F006E0"/>
    <w:rsid w:val="00F03DCB"/>
    <w:rsid w:val="00F1301E"/>
    <w:rsid w:val="00F137AF"/>
    <w:rsid w:val="00F15B04"/>
    <w:rsid w:val="00F20C09"/>
    <w:rsid w:val="00F27A78"/>
    <w:rsid w:val="00F320B5"/>
    <w:rsid w:val="00F456E2"/>
    <w:rsid w:val="00F46E27"/>
    <w:rsid w:val="00F56251"/>
    <w:rsid w:val="00F62C15"/>
    <w:rsid w:val="00F63D4E"/>
    <w:rsid w:val="00F640D1"/>
    <w:rsid w:val="00F70E7D"/>
    <w:rsid w:val="00F83413"/>
    <w:rsid w:val="00F9306E"/>
    <w:rsid w:val="00F93801"/>
    <w:rsid w:val="00F960AC"/>
    <w:rsid w:val="00FB4A70"/>
    <w:rsid w:val="00FB5607"/>
    <w:rsid w:val="00FC0C7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BA91A-927D-416A-8174-B936701A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8BB5-473C-4D74-9D73-88AD27DA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14</cp:revision>
  <cp:lastPrinted>2024-02-17T05:10:00Z</cp:lastPrinted>
  <dcterms:created xsi:type="dcterms:W3CDTF">2023-09-11T05:43:00Z</dcterms:created>
  <dcterms:modified xsi:type="dcterms:W3CDTF">2024-02-17T06:39:00Z</dcterms:modified>
</cp:coreProperties>
</file>