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A000E5">
        <w:rPr>
          <w:b/>
          <w:lang w:eastAsia="ru-RU"/>
        </w:rPr>
        <w:t>верхн</w:t>
      </w:r>
      <w:r w:rsidR="00E8127D">
        <w:rPr>
          <w:b/>
          <w:lang w:eastAsia="ru-RU"/>
        </w:rPr>
        <w:t>их</w:t>
      </w:r>
      <w:r w:rsidRPr="00B605F8">
        <w:rPr>
          <w:b/>
          <w:lang w:eastAsia="ru-RU"/>
        </w:rPr>
        <w:t xml:space="preserve">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974E26" w:rsidRPr="00B605F8" w:rsidRDefault="00974E26" w:rsidP="00974E26">
      <w:pPr>
        <w:ind w:firstLine="708"/>
        <w:jc w:val="both"/>
      </w:pPr>
      <w:r>
        <w:rPr>
          <w:lang w:eastAsia="ru-RU"/>
        </w:rPr>
        <w:t>Протез верхней конечности</w:t>
      </w:r>
      <w:r w:rsidRPr="00B605F8">
        <w:rPr>
          <w:lang w:eastAsia="ru-RU"/>
        </w:rPr>
        <w:t xml:space="preserve"> </w:t>
      </w:r>
      <w:r>
        <w:rPr>
          <w:lang w:eastAsia="ru-RU"/>
        </w:rPr>
        <w:t>должен соответствовать</w:t>
      </w:r>
      <w:r w:rsidRPr="00B605F8">
        <w:rPr>
          <w:lang w:eastAsia="ru-RU"/>
        </w:rPr>
        <w:t xml:space="preserve"> требованиям Национального стандарта Российско</w:t>
      </w:r>
      <w:r>
        <w:rPr>
          <w:lang w:eastAsia="ru-RU"/>
        </w:rPr>
        <w:t>й Федерации ГОСТ ISO 10993-1-202</w:t>
      </w:r>
      <w:r w:rsidRPr="00B605F8">
        <w:rPr>
          <w:lang w:eastAsia="ru-RU"/>
        </w:rPr>
        <w:t xml:space="preserve">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B605F8">
        <w:rPr>
          <w:lang w:eastAsia="ru-RU"/>
        </w:rPr>
        <w:t>цитотоксичность</w:t>
      </w:r>
      <w:proofErr w:type="spellEnd"/>
      <w:r w:rsidRPr="00B605F8">
        <w:rPr>
          <w:lang w:eastAsia="ru-RU"/>
        </w:rPr>
        <w:t xml:space="preserve">: методы </w:t>
      </w:r>
      <w:proofErr w:type="spellStart"/>
      <w:r w:rsidRPr="00B605F8">
        <w:rPr>
          <w:lang w:eastAsia="ru-RU"/>
        </w:rPr>
        <w:t>in</w:t>
      </w:r>
      <w:proofErr w:type="spellEnd"/>
      <w:r w:rsidRPr="00B605F8">
        <w:rPr>
          <w:lang w:eastAsia="ru-RU"/>
        </w:rPr>
        <w:t xml:space="preserve"> </w:t>
      </w:r>
      <w:proofErr w:type="spellStart"/>
      <w:r w:rsidRPr="00B605F8">
        <w:rPr>
          <w:lang w:eastAsia="ru-RU"/>
        </w:rPr>
        <w:t>vitro</w:t>
      </w:r>
      <w:proofErr w:type="spellEnd"/>
      <w:r w:rsidRPr="00B605F8">
        <w:rPr>
          <w:lang w:eastAsia="ru-RU"/>
        </w:rPr>
        <w:t>»,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w:t>
      </w:r>
      <w:r>
        <w:rPr>
          <w:lang w:eastAsia="ru-RU"/>
        </w:rPr>
        <w:t xml:space="preserve">ской Федерации ГОСТ </w:t>
      </w:r>
      <w:proofErr w:type="gramStart"/>
      <w:r>
        <w:rPr>
          <w:lang w:eastAsia="ru-RU"/>
        </w:rPr>
        <w:t>Р</w:t>
      </w:r>
      <w:proofErr w:type="gramEnd"/>
      <w:r>
        <w:rPr>
          <w:lang w:eastAsia="ru-RU"/>
        </w:rPr>
        <w:t xml:space="preserve"> 51632-2021</w:t>
      </w:r>
      <w:r w:rsidRPr="00B605F8">
        <w:rPr>
          <w:lang w:eastAsia="ru-RU"/>
        </w:rPr>
        <w:t xml:space="preserve">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B605F8">
        <w:rPr>
          <w:lang w:eastAsia="ru-RU"/>
        </w:rPr>
        <w:t>Р</w:t>
      </w:r>
      <w:proofErr w:type="gramEnd"/>
      <w:r w:rsidRPr="00B605F8">
        <w:rPr>
          <w:lang w:eastAsia="ru-RU"/>
        </w:rPr>
        <w:t xml:space="preserve"> ИСО 22523-2007 «Протезы конечностей и </w:t>
      </w:r>
      <w:proofErr w:type="spellStart"/>
      <w:r w:rsidRPr="00B605F8">
        <w:rPr>
          <w:lang w:eastAsia="ru-RU"/>
        </w:rPr>
        <w:t>ортезы</w:t>
      </w:r>
      <w:proofErr w:type="spellEnd"/>
      <w:r w:rsidRPr="00B605F8">
        <w:rPr>
          <w:lang w:eastAsia="ru-RU"/>
        </w:rPr>
        <w:t xml:space="preserve"> наружные. Требования и методы испытаний».</w:t>
      </w:r>
      <w:r>
        <w:rPr>
          <w:lang w:eastAsia="ru-RU"/>
        </w:rPr>
        <w:t xml:space="preserve"> </w:t>
      </w:r>
    </w:p>
    <w:p w:rsidR="00974E26" w:rsidRPr="00B605F8" w:rsidRDefault="00974E26" w:rsidP="00974E26">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974E26" w:rsidRPr="00B605F8" w:rsidRDefault="00974E26" w:rsidP="00974E26">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Pr>
          <w:lang w:eastAsia="ru-RU"/>
        </w:rPr>
        <w:t xml:space="preserve">должны </w:t>
      </w:r>
      <w:r w:rsidRPr="00B605F8">
        <w:rPr>
          <w:lang w:eastAsia="ru-RU"/>
        </w:rPr>
        <w:t>содержат</w:t>
      </w:r>
      <w:r>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Pr>
          <w:lang w:eastAsia="ru-RU"/>
        </w:rPr>
        <w:t xml:space="preserve">должна </w:t>
      </w:r>
      <w:r w:rsidRPr="00B605F8">
        <w:rPr>
          <w:lang w:eastAsia="ru-RU"/>
        </w:rPr>
        <w:t>изгота</w:t>
      </w:r>
      <w:r>
        <w:rPr>
          <w:lang w:eastAsia="ru-RU"/>
        </w:rPr>
        <w:t>влива</w:t>
      </w:r>
      <w:r w:rsidRPr="00B605F8">
        <w:rPr>
          <w:lang w:eastAsia="ru-RU"/>
        </w:rPr>
        <w:t>т</w:t>
      </w:r>
      <w:r>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974E26" w:rsidRPr="00B605F8" w:rsidRDefault="00974E26" w:rsidP="00974E26">
      <w:pPr>
        <w:suppressAutoHyphens w:val="0"/>
        <w:ind w:left="-142"/>
        <w:jc w:val="center"/>
        <w:rPr>
          <w:b/>
          <w:lang w:eastAsia="ru-RU"/>
        </w:rPr>
      </w:pPr>
      <w:r w:rsidRPr="00B605F8">
        <w:rPr>
          <w:b/>
          <w:lang w:eastAsia="ru-RU"/>
        </w:rPr>
        <w:t>Требования к безопасности работ</w:t>
      </w:r>
      <w:r>
        <w:rPr>
          <w:b/>
          <w:lang w:eastAsia="ru-RU"/>
        </w:rPr>
        <w:t>.</w:t>
      </w:r>
    </w:p>
    <w:p w:rsidR="00974E26" w:rsidRDefault="00974E26" w:rsidP="00974E26">
      <w:pPr>
        <w:suppressAutoHyphens w:val="0"/>
        <w:ind w:left="-142" w:firstLine="708"/>
        <w:jc w:val="both"/>
        <w:rPr>
          <w:lang w:eastAsia="ru-RU"/>
        </w:rPr>
      </w:pPr>
      <w:r w:rsidRPr="00B605F8">
        <w:rPr>
          <w:lang w:eastAsia="ru-RU"/>
        </w:rPr>
        <w:t xml:space="preserve">Проведение работ по обеспечению инвалида протезом </w:t>
      </w:r>
      <w:r>
        <w:rPr>
          <w:lang w:eastAsia="ru-RU"/>
        </w:rPr>
        <w:t>верх</w:t>
      </w:r>
      <w:r w:rsidRPr="00B605F8">
        <w:rPr>
          <w:lang w:eastAsia="ru-RU"/>
        </w:rPr>
        <w:t xml:space="preserve">ней конечности </w:t>
      </w:r>
      <w:r>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974E26" w:rsidRPr="00B605F8" w:rsidRDefault="00974E26" w:rsidP="00974E26">
      <w:pPr>
        <w:suppressAutoHyphens w:val="0"/>
        <w:ind w:left="-142"/>
        <w:jc w:val="center"/>
        <w:rPr>
          <w:b/>
          <w:lang w:eastAsia="ru-RU"/>
        </w:rPr>
      </w:pPr>
      <w:r w:rsidRPr="00B605F8">
        <w:rPr>
          <w:b/>
          <w:lang w:eastAsia="ru-RU"/>
        </w:rPr>
        <w:t>Требования к результатам работ</w:t>
      </w:r>
      <w:r>
        <w:rPr>
          <w:b/>
          <w:lang w:eastAsia="ru-RU"/>
        </w:rPr>
        <w:t>.</w:t>
      </w:r>
    </w:p>
    <w:p w:rsidR="00974E26" w:rsidRDefault="00974E26" w:rsidP="00974E26">
      <w:pPr>
        <w:suppressAutoHyphens w:val="0"/>
        <w:ind w:left="-142" w:firstLine="708"/>
        <w:jc w:val="both"/>
        <w:rPr>
          <w:lang w:eastAsia="ru-RU"/>
        </w:rPr>
      </w:pPr>
      <w:r>
        <w:rPr>
          <w:lang w:eastAsia="ru-RU"/>
        </w:rPr>
        <w:t>Работы по обеспечению инвалида протезом верхней конечности</w:t>
      </w:r>
      <w:r w:rsidRPr="00B605F8">
        <w:rPr>
          <w:lang w:eastAsia="ru-RU"/>
        </w:rPr>
        <w:t xml:space="preserve"> </w:t>
      </w:r>
      <w:r w:rsidRPr="00BF5912">
        <w:rPr>
          <w:lang w:eastAsia="ru-RU"/>
        </w:rPr>
        <w:t>считаются</w:t>
      </w:r>
      <w:r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Pr="00B605F8">
        <w:rPr>
          <w:lang w:eastAsia="ru-RU"/>
        </w:rPr>
        <w:t xml:space="preserve"> выполн</w:t>
      </w:r>
      <w:r>
        <w:rPr>
          <w:lang w:eastAsia="ru-RU"/>
        </w:rPr>
        <w:t>яе</w:t>
      </w:r>
      <w:r w:rsidRPr="00BF5912">
        <w:rPr>
          <w:lang w:eastAsia="ru-RU"/>
        </w:rPr>
        <w:t>тся</w:t>
      </w:r>
      <w:r w:rsidRPr="00B605F8">
        <w:rPr>
          <w:lang w:eastAsia="ru-RU"/>
        </w:rPr>
        <w:t xml:space="preserve"> с надлежащим качеством и в установленные сроки.</w:t>
      </w:r>
    </w:p>
    <w:p w:rsidR="00974E26" w:rsidRPr="00B605F8" w:rsidRDefault="00974E26" w:rsidP="00974E26">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974E26" w:rsidRPr="00BB7BB2" w:rsidRDefault="00974E26" w:rsidP="00974E26">
      <w:pPr>
        <w:jc w:val="center"/>
        <w:rPr>
          <w:b/>
        </w:rPr>
      </w:pPr>
      <w:r w:rsidRPr="00BB7BB2">
        <w:rPr>
          <w:b/>
        </w:rPr>
        <w:t>Место, условия и сроки (периоды) выполнения работ.</w:t>
      </w:r>
    </w:p>
    <w:p w:rsidR="00974E26" w:rsidRPr="00BB7BB2" w:rsidRDefault="00974E26" w:rsidP="00974E26">
      <w:pPr>
        <w:ind w:left="-142"/>
        <w:jc w:val="both"/>
      </w:pPr>
      <w:r>
        <w:t xml:space="preserve">            </w:t>
      </w:r>
      <w:r w:rsidRPr="00BB7BB2">
        <w:t xml:space="preserve">Гарантийный срок должен устанавливаться со дня выдачи готового изделия. </w:t>
      </w:r>
    </w:p>
    <w:p w:rsidR="00974E26" w:rsidRPr="00BB7BB2" w:rsidRDefault="00974E26" w:rsidP="00974E26">
      <w:pPr>
        <w:ind w:hanging="142"/>
        <w:jc w:val="both"/>
      </w:pPr>
      <w:r>
        <w:t xml:space="preserve">            </w:t>
      </w:r>
      <w:r w:rsidRPr="00BB7BB2">
        <w:t xml:space="preserve">Срок дополнительной гарантии качества товара, работ, услуг не превышает срока службы товара. </w:t>
      </w:r>
    </w:p>
    <w:p w:rsidR="00974E26" w:rsidRPr="00FA48DE" w:rsidRDefault="00974E26" w:rsidP="00974E26">
      <w:pPr>
        <w:ind w:left="-142"/>
        <w:jc w:val="both"/>
        <w:rPr>
          <w:lang w:eastAsia="ru-RU"/>
        </w:rPr>
      </w:pPr>
      <w:r>
        <w:t xml:space="preserve">          </w:t>
      </w:r>
      <w:r>
        <w:rPr>
          <w:lang w:eastAsia="ru-RU"/>
        </w:rPr>
        <w:t xml:space="preserve">   </w:t>
      </w:r>
      <w:r w:rsidRPr="00FA48DE">
        <w:rPr>
          <w:lang w:eastAsia="ru-RU"/>
        </w:rPr>
        <w:t>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Прием, обслуживание, обучение пользованию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июля 2015 года №527, в пределах административных границ субъекта Российской Федерации (Ростовская область).</w:t>
      </w:r>
      <w:r>
        <w:rPr>
          <w:lang w:eastAsia="ru-RU"/>
        </w:rPr>
        <w:t xml:space="preserve"> </w:t>
      </w:r>
      <w:r w:rsidRPr="00432482">
        <w:rPr>
          <w:lang w:eastAsia="ru-RU"/>
        </w:rPr>
        <w:t>Выполнение работ осуществляется в срок не более 60 календарных дней с момента получения Исполнителем Направлений, выданных фили</w:t>
      </w:r>
      <w:r w:rsidR="00714DB8">
        <w:rPr>
          <w:lang w:eastAsia="ru-RU"/>
        </w:rPr>
        <w:t>алом Заказчика, но не позднее 12.12</w:t>
      </w:r>
      <w:r w:rsidRPr="00432482">
        <w:rPr>
          <w:lang w:eastAsia="ru-RU"/>
        </w:rPr>
        <w:t>.2022 года.</w:t>
      </w:r>
    </w:p>
    <w:p w:rsidR="00B855E9" w:rsidRPr="00BB7BB2" w:rsidRDefault="00B855E9" w:rsidP="00432482">
      <w:pPr>
        <w:jc w:val="both"/>
        <w:rPr>
          <w:b/>
        </w:rPr>
      </w:pPr>
    </w:p>
    <w:tbl>
      <w:tblPr>
        <w:tblW w:w="4949" w:type="pct"/>
        <w:tblLayout w:type="fixed"/>
        <w:tblLook w:val="04A0" w:firstRow="1" w:lastRow="0" w:firstColumn="1" w:lastColumn="0" w:noHBand="0" w:noVBand="1"/>
      </w:tblPr>
      <w:tblGrid>
        <w:gridCol w:w="1385"/>
        <w:gridCol w:w="5308"/>
        <w:gridCol w:w="736"/>
        <w:gridCol w:w="1446"/>
        <w:gridCol w:w="1440"/>
      </w:tblGrid>
      <w:tr w:rsidR="008B28E3" w:rsidRPr="002D11A2" w:rsidTr="00DC292B">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Шифр</w:t>
            </w:r>
          </w:p>
        </w:tc>
        <w:tc>
          <w:tcPr>
            <w:tcW w:w="2573"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lastRenderedPageBreak/>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lastRenderedPageBreak/>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lastRenderedPageBreak/>
              <w:t xml:space="preserve">Срок выполнения </w:t>
            </w:r>
            <w:r w:rsidRPr="002D11A2">
              <w:rPr>
                <w:sz w:val="20"/>
                <w:szCs w:val="20"/>
              </w:rPr>
              <w:lastRenderedPageBreak/>
              <w:t xml:space="preserve">работ </w:t>
            </w:r>
            <w:r>
              <w:rPr>
                <w:sz w:val="20"/>
                <w:szCs w:val="20"/>
              </w:rPr>
              <w:t xml:space="preserve"> не более </w:t>
            </w:r>
            <w:r w:rsidRPr="002D11A2">
              <w:rPr>
                <w:sz w:val="20"/>
                <w:szCs w:val="20"/>
              </w:rPr>
              <w:t>(календарных дней)</w:t>
            </w:r>
          </w:p>
        </w:tc>
        <w:tc>
          <w:tcPr>
            <w:tcW w:w="69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w:t>
            </w:r>
            <w:r>
              <w:rPr>
                <w:sz w:val="20"/>
                <w:szCs w:val="20"/>
              </w:rPr>
              <w:lastRenderedPageBreak/>
              <w:t>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DC292B">
        <w:tc>
          <w:tcPr>
            <w:tcW w:w="671" w:type="pct"/>
            <w:tcBorders>
              <w:top w:val="single" w:sz="4" w:space="0" w:color="auto"/>
              <w:left w:val="single" w:sz="4" w:space="0" w:color="000000"/>
              <w:bottom w:val="single" w:sz="4" w:space="0" w:color="auto"/>
              <w:right w:val="nil"/>
            </w:tcBorders>
          </w:tcPr>
          <w:p w:rsidR="00680189" w:rsidRPr="002D11A2" w:rsidRDefault="00DC292B" w:rsidP="002D11A2">
            <w:pPr>
              <w:snapToGrid w:val="0"/>
              <w:spacing w:line="276" w:lineRule="auto"/>
              <w:rPr>
                <w:rFonts w:eastAsia="Lucida Sans Unicode"/>
                <w:kern w:val="2"/>
                <w:sz w:val="20"/>
                <w:szCs w:val="20"/>
              </w:rPr>
            </w:pPr>
            <w:r w:rsidRPr="00DC292B">
              <w:rPr>
                <w:rFonts w:eastAsia="Lucida Sans Unicode"/>
                <w:bCs/>
                <w:kern w:val="2"/>
                <w:sz w:val="20"/>
                <w:szCs w:val="20"/>
              </w:rPr>
              <w:lastRenderedPageBreak/>
              <w:t xml:space="preserve">Протез </w:t>
            </w:r>
            <w:r w:rsidR="00D73D96" w:rsidRPr="00D73D96">
              <w:rPr>
                <w:rFonts w:eastAsia="Lucida Sans Unicode"/>
                <w:bCs/>
                <w:kern w:val="2"/>
                <w:sz w:val="20"/>
                <w:szCs w:val="20"/>
              </w:rPr>
              <w:t xml:space="preserve">предплечья с микропроцессорным управлением </w:t>
            </w:r>
          </w:p>
        </w:tc>
        <w:tc>
          <w:tcPr>
            <w:tcW w:w="2573" w:type="pct"/>
            <w:tcBorders>
              <w:top w:val="single" w:sz="4" w:space="0" w:color="auto"/>
              <w:left w:val="single" w:sz="4" w:space="0" w:color="000000"/>
              <w:bottom w:val="single" w:sz="4" w:space="0" w:color="auto"/>
              <w:right w:val="nil"/>
            </w:tcBorders>
          </w:tcPr>
          <w:p w:rsidR="005774DA" w:rsidRPr="00A000E5" w:rsidRDefault="00746244" w:rsidP="002D11A2">
            <w:pPr>
              <w:suppressAutoHyphens w:val="0"/>
              <w:autoSpaceDE w:val="0"/>
              <w:jc w:val="both"/>
              <w:rPr>
                <w:bCs/>
                <w:sz w:val="20"/>
                <w:szCs w:val="20"/>
                <w:lang w:eastAsia="ru-RU"/>
              </w:rPr>
            </w:pPr>
            <w:r w:rsidRPr="00746244">
              <w:rPr>
                <w:bCs/>
                <w:sz w:val="20"/>
                <w:szCs w:val="20"/>
                <w:lang w:eastAsia="ru-RU"/>
              </w:rPr>
              <w:t>Протез предплечья с микропроцессорным управлением</w:t>
            </w:r>
            <w:r w:rsidR="00974E26" w:rsidRPr="00974E26">
              <w:rPr>
                <w:bCs/>
                <w:sz w:val="20"/>
                <w:szCs w:val="20"/>
                <w:lang w:eastAsia="ru-RU"/>
              </w:rPr>
              <w:t xml:space="preserve"> должен быть с внешним источником энергии, индивидуального изготовления, с изготовлением приёмной гильзы по слепку. Примерочная гильза должна быть из термопласта. Постоянная гильза должна быть из карбона с применением композитных материалов и литьевых смол с вкладышем из высокотемпературного силикона или термопласта. Внутри приёмной гильзы в проекции управляющих мышц должны быть расположены два датчика </w:t>
            </w:r>
            <w:proofErr w:type="spellStart"/>
            <w:r w:rsidR="00974E26" w:rsidRPr="00974E26">
              <w:rPr>
                <w:bCs/>
                <w:sz w:val="20"/>
                <w:szCs w:val="20"/>
                <w:lang w:eastAsia="ru-RU"/>
              </w:rPr>
              <w:t>миосигналов</w:t>
            </w:r>
            <w:proofErr w:type="spellEnd"/>
            <w:r w:rsidR="00974E26" w:rsidRPr="00974E26">
              <w:rPr>
                <w:bCs/>
                <w:sz w:val="20"/>
                <w:szCs w:val="20"/>
                <w:lang w:eastAsia="ru-RU"/>
              </w:rPr>
              <w:t>. Лучезапястный шарнир должен обеспечивать ротацию кисти. Кисть должна быть бионическая с программным управлением, с независимым электромотором для каждого пальца, с возмо</w:t>
            </w:r>
            <w:r w:rsidR="000466EC">
              <w:rPr>
                <w:bCs/>
                <w:sz w:val="20"/>
                <w:szCs w:val="20"/>
                <w:lang w:eastAsia="ru-RU"/>
              </w:rPr>
              <w:t>жностью программирования не мене</w:t>
            </w:r>
            <w:r w:rsidR="00974E26" w:rsidRPr="00974E26">
              <w:rPr>
                <w:bCs/>
                <w:sz w:val="20"/>
                <w:szCs w:val="20"/>
                <w:lang w:eastAsia="ru-RU"/>
              </w:rPr>
              <w:t xml:space="preserve">е 24 различных схватов пальцев кисти. Переключение между схватами должно осуществляется только от </w:t>
            </w:r>
            <w:proofErr w:type="spellStart"/>
            <w:r w:rsidR="00974E26" w:rsidRPr="00974E26">
              <w:rPr>
                <w:bCs/>
                <w:sz w:val="20"/>
                <w:szCs w:val="20"/>
                <w:lang w:eastAsia="ru-RU"/>
              </w:rPr>
              <w:t>миодатчика</w:t>
            </w:r>
            <w:proofErr w:type="spellEnd"/>
            <w:r w:rsidR="00974E26" w:rsidRPr="00974E26">
              <w:rPr>
                <w:bCs/>
                <w:sz w:val="20"/>
                <w:szCs w:val="20"/>
                <w:lang w:eastAsia="ru-RU"/>
              </w:rPr>
              <w:t xml:space="preserve"> отвечающего за открытие кисти с помощью отводящей мышцы предплечья. Большой палец кисти со сгибанием в шарнирах первой фаланги, с электронным управлением приведения/отведения и сгибания/разгибания. Пальцы со второго по пятый с электромеханическим управлением, с подвижностью в пястно-фаланговом и среднем шарнирах. Максимальная допустимая статическая нагрузка на каждый палец должна быть не менее 6 кг. Максимальная допустимая статическая нагрузка на протез должна быть не менее 40 кг. Минимальное время схваты кисти из полностью открытой в сжатый кулак должно быть не более 1,5 секунды. С помощью программы пользователь должен иметь возможность настроить варианты миоэлектрических сигналов-триггеров и определенных жестов для переключения схватов. Регулировка чувствительности датчиков должна осуществляться механическим способом. Кисть должна быть укомплектована одним аккумулятором ёмкостью не менее 2600мАч. Протез должен комплектоваться зарядным устройством с функции быстрой зарядки до 40 минут полного заряда.  Кисть должна обладать оболочкой для защиты от пыли и воды по стандарту IP54. Крепление должно быть индивидуальное подгоночное. Срок службы не менее 48 мес.</w:t>
            </w: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E32BA7" w:rsidP="00971260">
      <w:pPr>
        <w:tabs>
          <w:tab w:val="left" w:pos="2910"/>
        </w:tabs>
        <w:rPr>
          <w:b/>
        </w:rPr>
      </w:pPr>
      <w:bookmarkStart w:id="0" w:name="_GoBack"/>
      <w:bookmarkEnd w:id="0"/>
    </w:p>
    <w:sectPr w:rsidR="00E32BA7"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E3" w:rsidRDefault="00B867E3">
      <w:r>
        <w:separator/>
      </w:r>
    </w:p>
  </w:endnote>
  <w:endnote w:type="continuationSeparator" w:id="0">
    <w:p w:rsidR="00B867E3" w:rsidRDefault="00B8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E3" w:rsidRDefault="00B867E3">
      <w:r>
        <w:separator/>
      </w:r>
    </w:p>
  </w:footnote>
  <w:footnote w:type="continuationSeparator" w:id="0">
    <w:p w:rsidR="00B867E3" w:rsidRDefault="00B86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40FD"/>
    <w:rsid w:val="000466EC"/>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A73E3"/>
    <w:rsid w:val="000B13BD"/>
    <w:rsid w:val="000B162B"/>
    <w:rsid w:val="000B17D1"/>
    <w:rsid w:val="000B1EE3"/>
    <w:rsid w:val="000B6B42"/>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85DA5"/>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1F5E7F"/>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26F5"/>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2482"/>
    <w:rsid w:val="00437329"/>
    <w:rsid w:val="00437F3A"/>
    <w:rsid w:val="004400EC"/>
    <w:rsid w:val="00441BF7"/>
    <w:rsid w:val="00444720"/>
    <w:rsid w:val="0044591F"/>
    <w:rsid w:val="0044675B"/>
    <w:rsid w:val="00447EE4"/>
    <w:rsid w:val="00450A7E"/>
    <w:rsid w:val="00452A95"/>
    <w:rsid w:val="00453015"/>
    <w:rsid w:val="00457C88"/>
    <w:rsid w:val="004608D1"/>
    <w:rsid w:val="00465B5D"/>
    <w:rsid w:val="004677B8"/>
    <w:rsid w:val="00470AD7"/>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39A2"/>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4F69C7"/>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77353"/>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A7908"/>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4DB8"/>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46244"/>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A79F9"/>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5677"/>
    <w:rsid w:val="00827CB8"/>
    <w:rsid w:val="00830446"/>
    <w:rsid w:val="008304FA"/>
    <w:rsid w:val="00831700"/>
    <w:rsid w:val="00837541"/>
    <w:rsid w:val="00842039"/>
    <w:rsid w:val="00843FC9"/>
    <w:rsid w:val="00845024"/>
    <w:rsid w:val="0084549D"/>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4E26"/>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00E5"/>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4688A"/>
    <w:rsid w:val="00A51033"/>
    <w:rsid w:val="00A55495"/>
    <w:rsid w:val="00A578D2"/>
    <w:rsid w:val="00A61E31"/>
    <w:rsid w:val="00A678F8"/>
    <w:rsid w:val="00A70795"/>
    <w:rsid w:val="00A75271"/>
    <w:rsid w:val="00A752E9"/>
    <w:rsid w:val="00A76D2D"/>
    <w:rsid w:val="00A802EF"/>
    <w:rsid w:val="00A81977"/>
    <w:rsid w:val="00A82284"/>
    <w:rsid w:val="00A832A7"/>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06D56"/>
    <w:rsid w:val="00B10017"/>
    <w:rsid w:val="00B15BEF"/>
    <w:rsid w:val="00B20FB0"/>
    <w:rsid w:val="00B22DB7"/>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3B0D"/>
    <w:rsid w:val="00B74160"/>
    <w:rsid w:val="00B767F4"/>
    <w:rsid w:val="00B76D69"/>
    <w:rsid w:val="00B80048"/>
    <w:rsid w:val="00B8242F"/>
    <w:rsid w:val="00B855E9"/>
    <w:rsid w:val="00B867E3"/>
    <w:rsid w:val="00B90961"/>
    <w:rsid w:val="00B970A4"/>
    <w:rsid w:val="00BA1D81"/>
    <w:rsid w:val="00BA1DC9"/>
    <w:rsid w:val="00BA4787"/>
    <w:rsid w:val="00BB1496"/>
    <w:rsid w:val="00BB763E"/>
    <w:rsid w:val="00BB7BB2"/>
    <w:rsid w:val="00BC25A2"/>
    <w:rsid w:val="00BC31A4"/>
    <w:rsid w:val="00BC3E23"/>
    <w:rsid w:val="00BC4740"/>
    <w:rsid w:val="00BC4C47"/>
    <w:rsid w:val="00BD0136"/>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3D96"/>
    <w:rsid w:val="00D742B2"/>
    <w:rsid w:val="00D7522F"/>
    <w:rsid w:val="00D77102"/>
    <w:rsid w:val="00D77DE6"/>
    <w:rsid w:val="00D8252B"/>
    <w:rsid w:val="00D841BC"/>
    <w:rsid w:val="00D86627"/>
    <w:rsid w:val="00D909FC"/>
    <w:rsid w:val="00D95EF6"/>
    <w:rsid w:val="00DA11F5"/>
    <w:rsid w:val="00DA3D88"/>
    <w:rsid w:val="00DA5F2A"/>
    <w:rsid w:val="00DA6F14"/>
    <w:rsid w:val="00DB0D6B"/>
    <w:rsid w:val="00DB1B5B"/>
    <w:rsid w:val="00DB3EA0"/>
    <w:rsid w:val="00DB4B7E"/>
    <w:rsid w:val="00DB739B"/>
    <w:rsid w:val="00DC0F53"/>
    <w:rsid w:val="00DC205E"/>
    <w:rsid w:val="00DC292B"/>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27D"/>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13EB"/>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9524B"/>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A6B6-5399-4DBB-8CD0-D0315CD7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6008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kushchev_vn</cp:lastModifiedBy>
  <cp:revision>49</cp:revision>
  <cp:lastPrinted>2022-03-31T14:35:00Z</cp:lastPrinted>
  <dcterms:created xsi:type="dcterms:W3CDTF">2019-09-05T07:36:00Z</dcterms:created>
  <dcterms:modified xsi:type="dcterms:W3CDTF">2022-09-22T11:46:00Z</dcterms:modified>
</cp:coreProperties>
</file>