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E2" w:rsidRPr="002D0787" w:rsidRDefault="00E740E2" w:rsidP="00E740E2">
      <w:pPr>
        <w:jc w:val="right"/>
      </w:pPr>
      <w:r w:rsidRPr="002D0787">
        <w:t xml:space="preserve">Приложение № </w:t>
      </w:r>
      <w:r>
        <w:t>1</w:t>
      </w:r>
    </w:p>
    <w:p w:rsidR="00E740E2" w:rsidRDefault="00E740E2" w:rsidP="00E740E2">
      <w:pPr>
        <w:jc w:val="right"/>
      </w:pPr>
      <w:r>
        <w:t>к</w:t>
      </w:r>
      <w:r w:rsidRPr="002D0787">
        <w:t xml:space="preserve"> извещению о проведении закупки</w:t>
      </w:r>
    </w:p>
    <w:p w:rsidR="00E740E2" w:rsidRDefault="00E740E2" w:rsidP="000662FF">
      <w:pPr>
        <w:jc w:val="center"/>
        <w:rPr>
          <w:b/>
        </w:rPr>
      </w:pPr>
    </w:p>
    <w:p w:rsidR="000662FF" w:rsidRDefault="000662FF" w:rsidP="000662FF">
      <w:pPr>
        <w:jc w:val="center"/>
        <w:rPr>
          <w:b/>
        </w:rPr>
      </w:pPr>
      <w:r w:rsidRPr="00A072E1">
        <w:rPr>
          <w:b/>
        </w:rPr>
        <w:t>Описание объекта закупки (техническое задание)</w:t>
      </w:r>
    </w:p>
    <w:p w:rsidR="000662FF" w:rsidRPr="007D3D27" w:rsidRDefault="000662FF" w:rsidP="000662FF">
      <w:pPr>
        <w:tabs>
          <w:tab w:val="left" w:pos="6237"/>
        </w:tabs>
        <w:suppressAutoHyphens/>
        <w:snapToGrid w:val="0"/>
        <w:ind w:right="-284"/>
        <w:jc w:val="center"/>
        <w:rPr>
          <w:lang w:eastAsia="ar-SA"/>
        </w:rPr>
      </w:pPr>
      <w:r w:rsidRPr="007D3D27">
        <w:rPr>
          <w:lang w:eastAsia="ar-SA"/>
        </w:rPr>
        <w:t xml:space="preserve">на выполнение работ по изготовлению сложной ортопедической обуви </w:t>
      </w:r>
    </w:p>
    <w:p w:rsidR="000662FF" w:rsidRPr="007D3D27" w:rsidRDefault="000662FF" w:rsidP="000662FF">
      <w:pPr>
        <w:tabs>
          <w:tab w:val="left" w:pos="6237"/>
        </w:tabs>
        <w:suppressAutoHyphens/>
        <w:snapToGrid w:val="0"/>
        <w:ind w:right="-284"/>
        <w:jc w:val="center"/>
        <w:rPr>
          <w:lang w:eastAsia="ar-SA"/>
        </w:rPr>
      </w:pPr>
      <w:r w:rsidRPr="007D3D27">
        <w:rPr>
          <w:lang w:eastAsia="ar-SA"/>
        </w:rPr>
        <w:t>для инвалидов в 2022 году</w:t>
      </w:r>
    </w:p>
    <w:p w:rsidR="000662FF" w:rsidRPr="00AE089A" w:rsidRDefault="000662FF" w:rsidP="000662FF">
      <w:pPr>
        <w:suppressAutoHyphens/>
        <w:ind w:right="-284"/>
        <w:jc w:val="center"/>
        <w:rPr>
          <w:sz w:val="20"/>
          <w:szCs w:val="20"/>
          <w:lang w:eastAsia="ar-SA"/>
        </w:rPr>
      </w:pPr>
    </w:p>
    <w:p w:rsidR="000662FF" w:rsidRPr="00093376" w:rsidRDefault="000662FF" w:rsidP="000662FF">
      <w:pPr>
        <w:suppressAutoHyphens/>
        <w:autoSpaceDE w:val="0"/>
        <w:autoSpaceDN w:val="0"/>
        <w:adjustRightInd w:val="0"/>
        <w:ind w:right="282" w:firstLine="567"/>
        <w:jc w:val="both"/>
        <w:rPr>
          <w:lang w:eastAsia="ar-SA"/>
        </w:rPr>
      </w:pPr>
      <w:r w:rsidRPr="00093376">
        <w:rPr>
          <w:lang w:eastAsia="ar-SA"/>
        </w:rPr>
        <w:t xml:space="preserve">Исполнитель должен осуществить </w:t>
      </w:r>
      <w:r w:rsidRPr="00093376">
        <w:rPr>
          <w:lang w:eastAsia="en-US"/>
        </w:rPr>
        <w:t xml:space="preserve">выполнение работ по изготовлению </w:t>
      </w:r>
      <w:r w:rsidRPr="00093376">
        <w:rPr>
          <w:bCs/>
          <w:lang w:eastAsia="ar-SA"/>
        </w:rPr>
        <w:t>сложной ортопедической обуви</w:t>
      </w:r>
      <w:r>
        <w:rPr>
          <w:bCs/>
          <w:lang w:eastAsia="ar-SA"/>
        </w:rPr>
        <w:t xml:space="preserve"> (далее – Изделие)</w:t>
      </w:r>
      <w:r w:rsidRPr="00093376">
        <w:rPr>
          <w:bCs/>
          <w:lang w:eastAsia="ar-SA"/>
        </w:rPr>
        <w:t xml:space="preserve"> для </w:t>
      </w:r>
      <w:r>
        <w:rPr>
          <w:bCs/>
          <w:lang w:eastAsia="ar-SA"/>
        </w:rPr>
        <w:t xml:space="preserve">инвалидов (далее – </w:t>
      </w:r>
      <w:r w:rsidRPr="00093376">
        <w:rPr>
          <w:bCs/>
          <w:lang w:eastAsia="ar-SA"/>
        </w:rPr>
        <w:t>Получател</w:t>
      </w:r>
      <w:r>
        <w:rPr>
          <w:bCs/>
          <w:lang w:eastAsia="ar-SA"/>
        </w:rPr>
        <w:t>и)</w:t>
      </w:r>
      <w:r w:rsidRPr="00093376">
        <w:rPr>
          <w:bCs/>
          <w:lang w:eastAsia="ar-SA"/>
        </w:rPr>
        <w:t xml:space="preserve"> </w:t>
      </w:r>
      <w:r w:rsidRPr="00093376">
        <w:rPr>
          <w:lang w:eastAsia="en-US"/>
        </w:rPr>
        <w:t>в 202</w:t>
      </w:r>
      <w:r>
        <w:rPr>
          <w:lang w:eastAsia="en-US"/>
        </w:rPr>
        <w:t>2</w:t>
      </w:r>
      <w:r w:rsidRPr="00093376">
        <w:rPr>
          <w:lang w:eastAsia="en-US"/>
        </w:rPr>
        <w:t xml:space="preserve"> году </w:t>
      </w:r>
      <w:r w:rsidRPr="00093376">
        <w:rPr>
          <w:lang w:eastAsia="ar-SA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662FF" w:rsidRDefault="000662FF" w:rsidP="000662FF">
      <w:pPr>
        <w:suppressAutoHyphens/>
        <w:spacing w:before="120"/>
        <w:ind w:right="282" w:firstLine="567"/>
        <w:rPr>
          <w:lang w:eastAsia="ar-SA"/>
        </w:rPr>
      </w:pPr>
      <w:r w:rsidRPr="00093376">
        <w:rPr>
          <w:b/>
          <w:lang w:eastAsia="ar-SA"/>
        </w:rPr>
        <w:t>Срок выполнения работ:</w:t>
      </w:r>
      <w:r w:rsidRPr="00093376">
        <w:rPr>
          <w:lang w:eastAsia="ar-SA"/>
        </w:rPr>
        <w:t xml:space="preserve"> со дня, следующего за днем заключения государственного контракта до 1</w:t>
      </w:r>
      <w:r>
        <w:rPr>
          <w:lang w:eastAsia="ar-SA"/>
        </w:rPr>
        <w:t>5.09</w:t>
      </w:r>
      <w:r w:rsidRPr="00093376">
        <w:rPr>
          <w:lang w:eastAsia="ar-SA"/>
        </w:rPr>
        <w:t>.202</w:t>
      </w:r>
      <w:r>
        <w:rPr>
          <w:lang w:eastAsia="ar-SA"/>
        </w:rPr>
        <w:t>2</w:t>
      </w:r>
      <w:r w:rsidRPr="00093376">
        <w:rPr>
          <w:lang w:eastAsia="ar-SA"/>
        </w:rPr>
        <w:t xml:space="preserve"> включительно. </w:t>
      </w:r>
    </w:p>
    <w:p w:rsidR="000662FF" w:rsidRPr="00B123DD" w:rsidRDefault="000662FF" w:rsidP="000662FF">
      <w:pPr>
        <w:spacing w:before="120"/>
        <w:ind w:right="282" w:firstLine="567"/>
        <w:jc w:val="both"/>
        <w:rPr>
          <w:lang w:eastAsia="en-US"/>
        </w:rPr>
      </w:pPr>
      <w:r>
        <w:t>Исполнитель</w:t>
      </w:r>
      <w:r w:rsidRPr="00383712">
        <w:t xml:space="preserve">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</w:t>
      </w:r>
      <w:r>
        <w:t>Изделие</w:t>
      </w:r>
      <w:r w:rsidRPr="00383712">
        <w:t xml:space="preserve"> подлежит регистрации), и (или) декларации о соответствии или сертификата соответствия </w:t>
      </w:r>
      <w:r>
        <w:t>Изделия</w:t>
      </w:r>
      <w:r w:rsidRPr="00383712">
        <w:t xml:space="preserve"> либо иных документов, свидетельствующих о качестве и безопасности </w:t>
      </w:r>
      <w:r>
        <w:t>Изделия</w:t>
      </w:r>
      <w:r w:rsidRPr="00383712">
        <w:t>, предусмотренных действующим законод</w:t>
      </w:r>
      <w:r>
        <w:t>ательством Российской Федерации</w:t>
      </w:r>
      <w:r w:rsidRPr="00383712">
        <w:t xml:space="preserve">. В случае окончания срока действия указанных документов до полного исполнения обязательств по государственному контракту </w:t>
      </w:r>
      <w:r>
        <w:t>Исполнитель</w:t>
      </w:r>
      <w:r w:rsidRPr="00383712">
        <w:t xml:space="preserve"> в установленные законодательством Российской Федерации сроки обязан обеспечить их продление либо получение новых.  </w:t>
      </w:r>
    </w:p>
    <w:p w:rsidR="000662FF" w:rsidRPr="00093376" w:rsidRDefault="000662FF" w:rsidP="000662FF">
      <w:pPr>
        <w:tabs>
          <w:tab w:val="left" w:pos="-180"/>
        </w:tabs>
        <w:suppressAutoHyphens/>
        <w:ind w:right="282" w:firstLine="567"/>
        <w:rPr>
          <w:b/>
          <w:u w:val="single"/>
          <w:lang w:eastAsia="ar-SA"/>
        </w:rPr>
      </w:pPr>
    </w:p>
    <w:p w:rsidR="000662FF" w:rsidRPr="00093376" w:rsidRDefault="000662FF" w:rsidP="000662FF">
      <w:pPr>
        <w:suppressAutoHyphens/>
        <w:ind w:right="282" w:firstLine="567"/>
        <w:rPr>
          <w:lang w:eastAsia="ar-SA"/>
        </w:rPr>
      </w:pPr>
      <w:r w:rsidRPr="00093376">
        <w:rPr>
          <w:lang w:eastAsia="ar-SA"/>
        </w:rPr>
        <w:t>1. Характеристики объекта закупки</w:t>
      </w:r>
    </w:p>
    <w:p w:rsidR="000662FF" w:rsidRPr="00093376" w:rsidRDefault="000662FF" w:rsidP="000662FF">
      <w:pPr>
        <w:suppressAutoHyphens/>
        <w:ind w:right="282" w:firstLine="567"/>
        <w:rPr>
          <w:bCs/>
          <w:lang w:eastAsia="ar-SA"/>
        </w:rPr>
      </w:pPr>
      <w:r w:rsidRPr="00093376">
        <w:rPr>
          <w:lang w:eastAsia="ar-SA"/>
        </w:rPr>
        <w:t xml:space="preserve">1.1. </w:t>
      </w:r>
      <w:r w:rsidRPr="00093376">
        <w:rPr>
          <w:bCs/>
          <w:lang w:eastAsia="ar-SA"/>
        </w:rPr>
        <w:t>Функциональные и технические характеристики объекта закупки.</w:t>
      </w:r>
    </w:p>
    <w:p w:rsidR="000662FF" w:rsidRPr="00093376" w:rsidRDefault="000662FF" w:rsidP="000662FF">
      <w:pPr>
        <w:shd w:val="clear" w:color="auto" w:fill="FFFFFF"/>
        <w:suppressAutoHyphens/>
        <w:ind w:right="282" w:firstLine="567"/>
        <w:jc w:val="both"/>
        <w:textAlignment w:val="baseline"/>
        <w:rPr>
          <w:lang w:eastAsia="ar-SA"/>
        </w:rPr>
      </w:pPr>
      <w:r w:rsidRPr="00093376">
        <w:rPr>
          <w:lang w:eastAsia="ar-SA"/>
        </w:rPr>
        <w:t>Сложная ортопедическая обувь: ортопедическая обувь, конструкция которой разработана с учетом выраженных патологических отклонений и предназначенная для пользователей с выраженными нарушениями статодинамической функции.</w:t>
      </w:r>
    </w:p>
    <w:p w:rsidR="000662FF" w:rsidRPr="00093376" w:rsidRDefault="000662FF" w:rsidP="000662FF">
      <w:pPr>
        <w:suppressAutoHyphens/>
        <w:ind w:firstLine="567"/>
        <w:rPr>
          <w:sz w:val="20"/>
          <w:szCs w:val="20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5812"/>
        <w:gridCol w:w="992"/>
      </w:tblGrid>
      <w:tr w:rsidR="000662FF" w:rsidRPr="003A597F" w:rsidTr="00817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>№</w:t>
            </w:r>
          </w:p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>Кол-во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>Изделий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A597F">
              <w:rPr>
                <w:sz w:val="20"/>
                <w:szCs w:val="20"/>
              </w:rPr>
              <w:t>(пара)</w:t>
            </w:r>
          </w:p>
        </w:tc>
      </w:tr>
      <w:tr w:rsidR="000662FF" w:rsidRPr="003A597F" w:rsidTr="00817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3A597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Ортопедическая обувь сложная без утепленной подкладк</w:t>
            </w:r>
            <w:r w:rsidR="0009327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инвалидам</w:t>
            </w:r>
            <w:r w:rsidRPr="003A597F">
              <w:rPr>
                <w:sz w:val="22"/>
                <w:szCs w:val="22"/>
              </w:rPr>
              <w:t xml:space="preserve"> (без учета детей-инвалидов) (пара)</w:t>
            </w:r>
          </w:p>
          <w:p w:rsidR="000662FF" w:rsidRPr="003A597F" w:rsidRDefault="000662FF" w:rsidP="00817DFE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(9-01-01)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</w:t>
            </w:r>
            <w:r>
              <w:rPr>
                <w:sz w:val="22"/>
                <w:szCs w:val="22"/>
              </w:rPr>
              <w:t>2021</w:t>
            </w:r>
            <w:r w:rsidRPr="003A597F">
              <w:rPr>
                <w:sz w:val="22"/>
                <w:szCs w:val="22"/>
              </w:rPr>
              <w:t>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3A597F">
              <w:rPr>
                <w:sz w:val="22"/>
                <w:szCs w:val="22"/>
              </w:rPr>
              <w:t>сгибательной</w:t>
            </w:r>
            <w:proofErr w:type="spellEnd"/>
            <w:r w:rsidRPr="003A597F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3A597F">
              <w:rPr>
                <w:sz w:val="22"/>
                <w:szCs w:val="22"/>
              </w:rPr>
              <w:t>варусной</w:t>
            </w:r>
            <w:proofErr w:type="spellEnd"/>
            <w:r w:rsidRPr="003A597F">
              <w:rPr>
                <w:sz w:val="22"/>
                <w:szCs w:val="22"/>
              </w:rPr>
              <w:t xml:space="preserve">, </w:t>
            </w:r>
            <w:proofErr w:type="spellStart"/>
            <w:r w:rsidRPr="003A597F">
              <w:rPr>
                <w:sz w:val="22"/>
                <w:szCs w:val="22"/>
              </w:rPr>
              <w:t>эквинусной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A597F">
              <w:rPr>
                <w:sz w:val="22"/>
                <w:szCs w:val="22"/>
              </w:rPr>
              <w:t>берцы</w:t>
            </w:r>
            <w:proofErr w:type="spellEnd"/>
            <w:r w:rsidRPr="003A597F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</w:t>
            </w:r>
            <w:r w:rsidRPr="003A597F">
              <w:rPr>
                <w:sz w:val="22"/>
                <w:szCs w:val="22"/>
              </w:rPr>
              <w:lastRenderedPageBreak/>
              <w:t>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A597F">
              <w:rPr>
                <w:sz w:val="22"/>
                <w:szCs w:val="22"/>
              </w:rPr>
              <w:t>плосковальгусной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3A597F">
              <w:rPr>
                <w:sz w:val="22"/>
                <w:szCs w:val="22"/>
              </w:rPr>
              <w:t>половарусной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3A597F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3A597F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3A597F">
              <w:rPr>
                <w:sz w:val="22"/>
                <w:szCs w:val="22"/>
              </w:rPr>
              <w:t>лимфостазе</w:t>
            </w:r>
            <w:proofErr w:type="spellEnd"/>
            <w:r w:rsidRPr="003A597F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3A597F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3A597F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5E61FB" w:rsidP="00817DFE">
            <w:pPr>
              <w:widowControl w:val="0"/>
              <w:suppressAutoHyphens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9150</w:t>
            </w:r>
          </w:p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62FF" w:rsidRPr="003A597F" w:rsidTr="00817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Ортопедическая обувь сложная без утепленной подкладк</w:t>
            </w:r>
            <w:r w:rsidR="00093273">
              <w:rPr>
                <w:sz w:val="22"/>
                <w:szCs w:val="22"/>
              </w:rPr>
              <w:t xml:space="preserve">и </w:t>
            </w:r>
            <w:r w:rsidRPr="003A597F">
              <w:rPr>
                <w:sz w:val="22"/>
                <w:szCs w:val="22"/>
              </w:rPr>
              <w:t>для детей-инвалидов (пара)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(9-01-01)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</w:t>
            </w:r>
            <w:r>
              <w:rPr>
                <w:sz w:val="22"/>
                <w:szCs w:val="22"/>
              </w:rPr>
              <w:t>ветствии с ГОСТ Р 55638-2021</w:t>
            </w:r>
            <w:r w:rsidRPr="003A597F">
              <w:rPr>
                <w:sz w:val="22"/>
                <w:szCs w:val="22"/>
              </w:rPr>
              <w:t>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3A597F">
              <w:rPr>
                <w:sz w:val="22"/>
                <w:szCs w:val="22"/>
              </w:rPr>
              <w:t>сгибательной</w:t>
            </w:r>
            <w:proofErr w:type="spellEnd"/>
            <w:r w:rsidRPr="003A597F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3A597F">
              <w:rPr>
                <w:sz w:val="22"/>
                <w:szCs w:val="22"/>
              </w:rPr>
              <w:t>варусной</w:t>
            </w:r>
            <w:proofErr w:type="spellEnd"/>
            <w:r w:rsidRPr="003A597F">
              <w:rPr>
                <w:sz w:val="22"/>
                <w:szCs w:val="22"/>
              </w:rPr>
              <w:t xml:space="preserve">, </w:t>
            </w:r>
            <w:proofErr w:type="spellStart"/>
            <w:r w:rsidRPr="003A597F">
              <w:rPr>
                <w:sz w:val="22"/>
                <w:szCs w:val="22"/>
              </w:rPr>
              <w:t>эквинусной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A597F">
              <w:rPr>
                <w:sz w:val="22"/>
                <w:szCs w:val="22"/>
              </w:rPr>
              <w:t>берцы</w:t>
            </w:r>
            <w:proofErr w:type="spellEnd"/>
            <w:r w:rsidRPr="003A597F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A597F">
              <w:rPr>
                <w:sz w:val="22"/>
                <w:szCs w:val="22"/>
              </w:rPr>
              <w:t>плосковальгусной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3A597F">
              <w:rPr>
                <w:sz w:val="22"/>
                <w:szCs w:val="22"/>
              </w:rPr>
              <w:t>половарусной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стопе. При изготовлении обуви должно быть использовано не </w:t>
            </w:r>
            <w:r w:rsidRPr="003A597F">
              <w:rPr>
                <w:sz w:val="22"/>
                <w:szCs w:val="22"/>
              </w:rPr>
              <w:lastRenderedPageBreak/>
              <w:t>менее двух специальных деталей, таких как: жесткие задники</w:t>
            </w:r>
            <w:r w:rsidRPr="003A597F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3A597F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3A597F">
              <w:rPr>
                <w:sz w:val="22"/>
                <w:szCs w:val="22"/>
              </w:rPr>
              <w:t>лимфостазе</w:t>
            </w:r>
            <w:proofErr w:type="spellEnd"/>
            <w:r w:rsidRPr="003A597F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3A597F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3A597F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597F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5E61FB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662FF" w:rsidRPr="003A597F" w:rsidRDefault="000662FF" w:rsidP="00817DF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  <w:lang w:val="en-US"/>
              </w:rPr>
              <w:lastRenderedPageBreak/>
              <w:t>2</w:t>
            </w:r>
            <w:r w:rsidRPr="003A597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Ортопедическая обувь сложная на утепленной подкладке </w:t>
            </w:r>
            <w:r>
              <w:rPr>
                <w:sz w:val="22"/>
                <w:szCs w:val="22"/>
              </w:rPr>
              <w:t xml:space="preserve">инвалидам </w:t>
            </w:r>
            <w:r w:rsidRPr="003A597F">
              <w:rPr>
                <w:sz w:val="22"/>
                <w:szCs w:val="22"/>
              </w:rPr>
              <w:t>(без учета детей-инвалидов) (пара)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(9-02-01)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</w:t>
            </w:r>
            <w:r>
              <w:rPr>
                <w:sz w:val="22"/>
                <w:szCs w:val="22"/>
              </w:rPr>
              <w:t>соответствии с ГОСТ Р 55638-2021</w:t>
            </w:r>
            <w:r w:rsidRPr="003A597F">
              <w:rPr>
                <w:sz w:val="22"/>
                <w:szCs w:val="22"/>
              </w:rPr>
              <w:t>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3A597F">
              <w:rPr>
                <w:sz w:val="22"/>
                <w:szCs w:val="22"/>
              </w:rPr>
              <w:t>сгибательной</w:t>
            </w:r>
            <w:proofErr w:type="spellEnd"/>
            <w:r w:rsidRPr="003A597F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3A597F">
              <w:rPr>
                <w:sz w:val="22"/>
                <w:szCs w:val="22"/>
              </w:rPr>
              <w:t>варусной</w:t>
            </w:r>
            <w:proofErr w:type="spellEnd"/>
            <w:r w:rsidRPr="003A597F">
              <w:rPr>
                <w:sz w:val="22"/>
                <w:szCs w:val="22"/>
              </w:rPr>
              <w:t xml:space="preserve">, </w:t>
            </w:r>
            <w:proofErr w:type="spellStart"/>
            <w:r w:rsidRPr="003A597F">
              <w:rPr>
                <w:sz w:val="22"/>
                <w:szCs w:val="22"/>
              </w:rPr>
              <w:t>эквинусной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A597F">
              <w:rPr>
                <w:sz w:val="22"/>
                <w:szCs w:val="22"/>
              </w:rPr>
              <w:t>берцы</w:t>
            </w:r>
            <w:proofErr w:type="spellEnd"/>
            <w:r w:rsidRPr="003A597F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A597F">
              <w:rPr>
                <w:sz w:val="22"/>
                <w:szCs w:val="22"/>
              </w:rPr>
              <w:t>плосковальгусной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3A597F">
              <w:rPr>
                <w:sz w:val="22"/>
                <w:szCs w:val="22"/>
              </w:rPr>
              <w:t>половарусной</w:t>
            </w:r>
            <w:proofErr w:type="spellEnd"/>
            <w:r w:rsidRPr="003A597F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3A597F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3A597F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lastRenderedPageBreak/>
              <w:t xml:space="preserve">4. Обувь ортопедическая сложная при </w:t>
            </w:r>
            <w:proofErr w:type="spellStart"/>
            <w:r w:rsidRPr="003A597F">
              <w:rPr>
                <w:sz w:val="22"/>
                <w:szCs w:val="22"/>
              </w:rPr>
              <w:t>лимфостазе</w:t>
            </w:r>
            <w:proofErr w:type="spellEnd"/>
            <w:r w:rsidRPr="003A597F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A597F">
              <w:rPr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3A597F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3A597F">
              <w:rPr>
                <w:sz w:val="22"/>
                <w:szCs w:val="22"/>
              </w:rPr>
              <w:t>служащие для восстановления или компенсации статодинамической функции. Утепленная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F" w:rsidRPr="003A597F" w:rsidRDefault="005E61FB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76</w:t>
            </w:r>
            <w:r w:rsidR="000662FF">
              <w:rPr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Ортопедическая обувь сложная на утепленной подкладке для детей-инвалидов (пара)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(9-02-01)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rPr>
                <w:rFonts w:eastAsia="Arial"/>
                <w:sz w:val="22"/>
                <w:szCs w:val="22"/>
              </w:rPr>
              <w:t>21</w:t>
            </w:r>
            <w:r w:rsidRPr="003A597F">
              <w:rPr>
                <w:rFonts w:eastAsia="Arial"/>
                <w:sz w:val="22"/>
                <w:szCs w:val="22"/>
              </w:rPr>
              <w:t>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сгибательной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варусной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эквинусной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плосковальгусной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стопе, полой стопе,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половарусной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лимфостазе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</w:t>
            </w:r>
            <w:r w:rsidRPr="003A597F">
              <w:rPr>
                <w:rFonts w:eastAsia="Arial"/>
                <w:sz w:val="22"/>
                <w:szCs w:val="22"/>
              </w:rPr>
              <w:lastRenderedPageBreak/>
              <w:t xml:space="preserve">прокладки над специальными жесткими деталями, комбинированный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0662FF" w:rsidRPr="003A597F" w:rsidRDefault="000662FF" w:rsidP="00817DFE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3A597F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3A597F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Утепленная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A597F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5E61FB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  <w:lang w:val="en-US"/>
              </w:rPr>
            </w:pPr>
            <w:r w:rsidRPr="003A597F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F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(пара) </w:t>
            </w:r>
          </w:p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(9-01-02)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Соответствие полупар в паре по внешнему виду, цвету и материалу верха – наличие. Элементы крепления – наличие.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3A59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  <w:p w:rsidR="000662FF" w:rsidRPr="003A597F" w:rsidRDefault="000662FF" w:rsidP="00817DFE">
            <w:pPr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(9-01-02)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  <w:r w:rsidRPr="003A597F">
              <w:rPr>
                <w:sz w:val="22"/>
                <w:szCs w:val="22"/>
              </w:rPr>
              <w:t xml:space="preserve"> 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Соответствие полупар в паре по внешнему виду, цвету и материалу верха – наличие. Элементы крепления – наличие.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(пара) </w:t>
            </w:r>
          </w:p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(9-02-02)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  <w:r w:rsidRPr="003A597F">
              <w:rPr>
                <w:sz w:val="22"/>
                <w:szCs w:val="22"/>
              </w:rPr>
              <w:t xml:space="preserve"> 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Соответствие полупар в паре по внешнему виду, цвету и материалу верха – наличие. Элементы крепления – наличие. Утепленная подкладка – наличие.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Pr="003A597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snapToGrid w:val="0"/>
              <w:ind w:left="61" w:hanging="61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4.1.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:rsidR="000662FF" w:rsidRPr="003A597F" w:rsidRDefault="000662FF" w:rsidP="00817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(9-02-02)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  <w:p w:rsidR="000662FF" w:rsidRPr="003A597F" w:rsidRDefault="000662FF" w:rsidP="00817D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Соответствие полупар в паре по внешнему виду, цвету и материалу верха – наличие. Элементы крепления – наличие. Утепленная подкладка – наличие.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  <w:p w:rsidR="000662FF" w:rsidRPr="003A597F" w:rsidRDefault="000662FF" w:rsidP="00817D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62FF" w:rsidRPr="003A597F" w:rsidTr="00817DFE">
        <w:trPr>
          <w:trHeight w:val="271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0662FF" w:rsidP="00817DFE">
            <w:pPr>
              <w:tabs>
                <w:tab w:val="left" w:pos="0"/>
              </w:tabs>
              <w:spacing w:before="120" w:after="120" w:line="192" w:lineRule="auto"/>
              <w:jc w:val="right"/>
              <w:rPr>
                <w:sz w:val="22"/>
                <w:szCs w:val="22"/>
              </w:rPr>
            </w:pPr>
            <w:r w:rsidRPr="003A597F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FF" w:rsidRPr="003A597F" w:rsidRDefault="005E61FB" w:rsidP="00817DFE">
            <w:pPr>
              <w:widowControl w:val="0"/>
              <w:suppressAutoHyphens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20 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040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662FF" w:rsidRPr="00093376" w:rsidRDefault="000662FF" w:rsidP="000662FF">
      <w:pPr>
        <w:suppressAutoHyphens/>
        <w:rPr>
          <w:sz w:val="20"/>
          <w:szCs w:val="20"/>
          <w:lang w:eastAsia="ar-SA"/>
        </w:rPr>
      </w:pPr>
    </w:p>
    <w:p w:rsidR="000662FF" w:rsidRPr="007D3D27" w:rsidRDefault="000662FF" w:rsidP="000662FF">
      <w:pPr>
        <w:suppressAutoHyphens/>
        <w:ind w:right="282" w:firstLine="426"/>
        <w:jc w:val="both"/>
        <w:rPr>
          <w:bCs/>
          <w:lang w:eastAsia="ar-SA"/>
        </w:rPr>
      </w:pPr>
      <w:r w:rsidRPr="007D3D27">
        <w:rPr>
          <w:bCs/>
          <w:lang w:eastAsia="ar-SA"/>
        </w:rPr>
        <w:t>1.2. Качественные характеристики объекта закупки.</w:t>
      </w:r>
    </w:p>
    <w:p w:rsidR="000662FF" w:rsidRPr="007D3D27" w:rsidRDefault="000662FF" w:rsidP="000662FF">
      <w:pPr>
        <w:suppressAutoHyphens/>
        <w:ind w:right="282" w:firstLine="426"/>
        <w:jc w:val="both"/>
        <w:rPr>
          <w:lang w:eastAsia="ar-SA"/>
        </w:rPr>
      </w:pPr>
      <w:r w:rsidRPr="007D3D27">
        <w:rPr>
          <w:lang w:eastAsia="ar-SA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662FF" w:rsidRPr="007D3D27" w:rsidRDefault="000662FF" w:rsidP="000662FF">
      <w:pPr>
        <w:suppressAutoHyphens/>
        <w:ind w:right="282" w:firstLine="426"/>
        <w:jc w:val="both"/>
        <w:rPr>
          <w:lang w:eastAsia="ar-SA"/>
        </w:rPr>
      </w:pPr>
      <w:r w:rsidRPr="007D3D27">
        <w:rPr>
          <w:lang w:eastAsia="ar-SA"/>
        </w:rPr>
        <w:lastRenderedPageBreak/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662FF" w:rsidRPr="007D3D27" w:rsidRDefault="000662FF" w:rsidP="000662FF">
      <w:pPr>
        <w:widowControl w:val="0"/>
        <w:suppressAutoHyphens/>
        <w:ind w:right="282" w:firstLine="426"/>
        <w:jc w:val="both"/>
        <w:rPr>
          <w:color w:val="000000"/>
          <w:lang w:eastAsia="ar-SA"/>
        </w:rPr>
      </w:pPr>
      <w:r w:rsidRPr="007D3D27">
        <w:rPr>
          <w:color w:val="000000"/>
          <w:lang w:eastAsia="ar-SA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662FF" w:rsidRPr="007D3D27" w:rsidRDefault="000662FF" w:rsidP="000662FF">
      <w:pPr>
        <w:suppressAutoHyphens/>
        <w:ind w:right="282" w:firstLine="426"/>
        <w:jc w:val="both"/>
        <w:rPr>
          <w:color w:val="000000"/>
          <w:lang w:eastAsia="ar-SA"/>
        </w:rPr>
      </w:pPr>
      <w:r w:rsidRPr="007D3D27">
        <w:rPr>
          <w:color w:val="000000"/>
          <w:lang w:eastAsia="ar-SA"/>
        </w:rPr>
        <w:t>- ГОСТ Р 54407-</w:t>
      </w:r>
      <w:r w:rsidRPr="007D3D27">
        <w:rPr>
          <w:lang w:eastAsia="ar-SA"/>
        </w:rPr>
        <w:t>2020</w:t>
      </w:r>
      <w:r w:rsidRPr="007D3D27">
        <w:rPr>
          <w:color w:val="000000"/>
          <w:lang w:eastAsia="ar-SA"/>
        </w:rPr>
        <w:t xml:space="preserve"> «Обувь ортопедическая. Общие технические условия»;</w:t>
      </w:r>
    </w:p>
    <w:p w:rsidR="000662FF" w:rsidRPr="007D3D27" w:rsidRDefault="000662FF" w:rsidP="000662FF">
      <w:pPr>
        <w:suppressAutoHyphens/>
        <w:ind w:right="282" w:firstLine="426"/>
        <w:jc w:val="both"/>
        <w:rPr>
          <w:color w:val="000000"/>
          <w:lang w:eastAsia="ar-SA"/>
        </w:rPr>
      </w:pPr>
      <w:r w:rsidRPr="007D3D27">
        <w:rPr>
          <w:color w:val="000000"/>
          <w:lang w:eastAsia="ar-SA"/>
        </w:rPr>
        <w:t>- ГОСТ Р 57761-2017 «Обувь ортопедическая. Термины и определения»;</w:t>
      </w:r>
    </w:p>
    <w:p w:rsidR="000662FF" w:rsidRDefault="000662FF" w:rsidP="000662FF">
      <w:pPr>
        <w:suppressAutoHyphens/>
        <w:ind w:right="282" w:firstLine="426"/>
        <w:jc w:val="both"/>
        <w:rPr>
          <w:color w:val="000000"/>
          <w:lang w:eastAsia="ar-SA"/>
        </w:rPr>
      </w:pPr>
      <w:r w:rsidRPr="007D3D27">
        <w:rPr>
          <w:color w:val="000000"/>
          <w:lang w:eastAsia="ar-SA"/>
        </w:rPr>
        <w:t>- ГОСТ Р 55638-20</w:t>
      </w:r>
      <w:r>
        <w:rPr>
          <w:color w:val="000000"/>
          <w:lang w:eastAsia="ar-SA"/>
        </w:rPr>
        <w:t>2</w:t>
      </w:r>
      <w:r w:rsidRPr="007D3D27">
        <w:rPr>
          <w:color w:val="000000"/>
          <w:lang w:eastAsia="ar-SA"/>
        </w:rPr>
        <w:t xml:space="preserve">1 «Услуги по изготовлению ортопедической обуви. </w:t>
      </w:r>
      <w:r>
        <w:rPr>
          <w:color w:val="000000"/>
          <w:lang w:eastAsia="ar-SA"/>
        </w:rPr>
        <w:t xml:space="preserve">Состав и содержание услуг. </w:t>
      </w:r>
      <w:r w:rsidRPr="007D3D27">
        <w:rPr>
          <w:color w:val="000000"/>
          <w:lang w:eastAsia="ar-SA"/>
        </w:rPr>
        <w:t>Требования безопасности»</w:t>
      </w:r>
      <w:r w:rsidR="004F47AB">
        <w:rPr>
          <w:color w:val="000000"/>
          <w:lang w:eastAsia="ar-SA"/>
        </w:rPr>
        <w:t>;</w:t>
      </w:r>
    </w:p>
    <w:p w:rsidR="004F47AB" w:rsidRDefault="004F47AB" w:rsidP="004F47AB">
      <w:pPr>
        <w:ind w:right="282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 w:rsidR="004F47AB" w:rsidRDefault="004F47AB" w:rsidP="004F47AB">
      <w:pPr>
        <w:ind w:right="282" w:firstLine="426"/>
        <w:jc w:val="both"/>
        <w:rPr>
          <w:color w:val="000000" w:themeColor="text1"/>
        </w:rPr>
      </w:pPr>
      <w:r>
        <w:rPr>
          <w:color w:val="000000" w:themeColor="text1"/>
        </w:rPr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 w:rsidR="000662FF" w:rsidRPr="007D3D27" w:rsidRDefault="000662FF" w:rsidP="000662FF">
      <w:pPr>
        <w:widowControl w:val="0"/>
        <w:suppressAutoHyphens/>
        <w:ind w:right="282" w:firstLine="426"/>
        <w:jc w:val="both"/>
        <w:rPr>
          <w:lang w:eastAsia="ar-SA"/>
        </w:rPr>
      </w:pPr>
      <w:r w:rsidRPr="007D3D27">
        <w:rPr>
          <w:lang w:eastAsia="ar-SA"/>
        </w:rPr>
        <w:t>1.2.3. Изделия должны быть в упаковке, обеспечивающей защиту от воздействия механических и климатических факторов (п. 4.11.5 ГОСТ Р 51632-20</w:t>
      </w:r>
      <w:r>
        <w:rPr>
          <w:lang w:eastAsia="ar-SA"/>
        </w:rPr>
        <w:t>2</w:t>
      </w:r>
      <w:r w:rsidRPr="007D3D27">
        <w:rPr>
          <w:lang w:eastAsia="ar-SA"/>
        </w:rPr>
        <w:t xml:space="preserve">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0662FF" w:rsidRPr="007D3D27" w:rsidRDefault="000662FF" w:rsidP="000662FF">
      <w:pPr>
        <w:suppressAutoHyphens/>
        <w:autoSpaceDE w:val="0"/>
        <w:autoSpaceDN w:val="0"/>
        <w:adjustRightInd w:val="0"/>
        <w:ind w:right="282" w:firstLine="426"/>
        <w:jc w:val="both"/>
        <w:rPr>
          <w:lang w:eastAsia="ar-SA"/>
        </w:rPr>
      </w:pPr>
      <w:r w:rsidRPr="007D3D27">
        <w:rPr>
          <w:lang w:eastAsia="ar-SA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662FF" w:rsidRPr="007D3D27" w:rsidRDefault="000662FF" w:rsidP="000662FF">
      <w:pPr>
        <w:widowControl w:val="0"/>
        <w:suppressAutoHyphens/>
        <w:ind w:right="282" w:firstLine="426"/>
        <w:jc w:val="both"/>
        <w:rPr>
          <w:lang w:eastAsia="ar-SA"/>
        </w:rPr>
      </w:pPr>
      <w:r w:rsidRPr="007D3D27">
        <w:rPr>
          <w:lang w:eastAsia="ar-SA"/>
        </w:rPr>
        <w:t>1.2.5. Изделия должны быть свободными от прав третьих лиц.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  <w:rPr>
          <w:bCs/>
        </w:rPr>
      </w:pPr>
      <w:r w:rsidRPr="007D3D27">
        <w:t>1.3.</w:t>
      </w:r>
      <w:r w:rsidRPr="007D3D27">
        <w:rPr>
          <w:lang w:eastAsia="en-US"/>
        </w:rPr>
        <w:t xml:space="preserve"> </w:t>
      </w:r>
      <w:r w:rsidRPr="007D3D27"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7D3D27">
        <w:rPr>
          <w:bCs/>
        </w:rPr>
        <w:t>.</w:t>
      </w:r>
    </w:p>
    <w:p w:rsidR="000662FF" w:rsidRPr="007D3D27" w:rsidRDefault="000662FF" w:rsidP="000662FF">
      <w:pPr>
        <w:ind w:right="282" w:firstLine="426"/>
        <w:jc w:val="both"/>
      </w:pPr>
      <w:r w:rsidRPr="007D3D27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662FF" w:rsidRPr="007D3D27" w:rsidRDefault="000662FF" w:rsidP="000662FF">
      <w:pPr>
        <w:ind w:right="282" w:firstLine="426"/>
        <w:jc w:val="both"/>
      </w:pPr>
      <w:r w:rsidRPr="007D3D27">
        <w:t>Начало сезона должно определяться в соответствии с Законом «О защите прав потребителей».</w:t>
      </w:r>
    </w:p>
    <w:p w:rsidR="000662FF" w:rsidRPr="007D3D27" w:rsidRDefault="000662FF" w:rsidP="000662FF">
      <w:pPr>
        <w:spacing w:before="120"/>
        <w:ind w:right="282" w:firstLine="425"/>
        <w:jc w:val="both"/>
      </w:pPr>
      <w:r w:rsidRPr="007D3D27">
        <w:t>2. Исполнитель обязан:</w:t>
      </w:r>
    </w:p>
    <w:p w:rsidR="000662FF" w:rsidRPr="007D3D27" w:rsidRDefault="000662FF" w:rsidP="000662FF">
      <w:pPr>
        <w:ind w:right="282" w:firstLine="426"/>
        <w:jc w:val="both"/>
      </w:pPr>
      <w:r w:rsidRPr="007D3D27">
        <w:t>2.1. Осуществлять индивидуальное изготовление Получателям Изделий.</w:t>
      </w:r>
    </w:p>
    <w:p w:rsidR="000662FF" w:rsidRPr="007D3D27" w:rsidRDefault="000662FF" w:rsidP="000662FF">
      <w:pPr>
        <w:ind w:right="282" w:firstLine="426"/>
        <w:jc w:val="both"/>
      </w:pPr>
      <w:r w:rsidRPr="007D3D27"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662FF" w:rsidRPr="007D3D27" w:rsidRDefault="000662FF" w:rsidP="000662FF">
      <w:pPr>
        <w:ind w:right="282" w:firstLine="426"/>
        <w:jc w:val="both"/>
      </w:pPr>
      <w:r w:rsidRPr="007D3D27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662FF" w:rsidRPr="007D3D27" w:rsidRDefault="000662FF" w:rsidP="000662FF">
      <w:pPr>
        <w:ind w:right="282" w:firstLine="426"/>
        <w:jc w:val="both"/>
      </w:pPr>
      <w:r w:rsidRPr="007D3D27"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7D3D27">
        <w:t xml:space="preserve">Указанные документы, предоставляемые представителем Получателя, должны быть действительными и не </w:t>
      </w:r>
      <w:r w:rsidRPr="007D3D27">
        <w:lastRenderedPageBreak/>
        <w:t>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662FF" w:rsidRPr="007D3D27" w:rsidRDefault="000662FF" w:rsidP="000662FF">
      <w:pPr>
        <w:autoSpaceDE w:val="0"/>
        <w:ind w:right="282" w:firstLine="426"/>
        <w:jc w:val="both"/>
      </w:pPr>
      <w:r w:rsidRPr="007D3D2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662FF" w:rsidRPr="007D3D27" w:rsidRDefault="000662FF" w:rsidP="000662FF">
      <w:pPr>
        <w:ind w:right="282" w:firstLine="426"/>
        <w:jc w:val="both"/>
      </w:pPr>
      <w:r w:rsidRPr="007D3D27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D3D27"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662FF" w:rsidRDefault="000662FF" w:rsidP="000662FF">
      <w:pPr>
        <w:widowControl w:val="0"/>
        <w:ind w:right="282" w:firstLine="426"/>
        <w:jc w:val="both"/>
        <w:rPr>
          <w:lang w:eastAsia="ar-SA"/>
        </w:rPr>
      </w:pPr>
      <w:r w:rsidRPr="007D3D27">
        <w:t xml:space="preserve">2.5. </w:t>
      </w:r>
      <w:r w:rsidRPr="007D3D27">
        <w:rPr>
          <w:lang w:eastAsia="ar-SA"/>
        </w:rPr>
        <w:t xml:space="preserve">Осуществлять прием Получателя по всем вопросам изготовления и выдачи Изделия, выполнения гарантийного ремонта Изделия по месту нахождения пункта (пунктов) приема Получателей и гарантийного обслуживания (далее - пункта (пунктов) приема), организованных Исполнителем на территории Санкт-Петербурга не позднее 1 (одного) дня с даты заключения государственного контракта. Количество пунктов должно быть не менее 5 (пяти). Пункт (пункты) приема должны быть организованы в различных районах Санкт-Петербурга. При этом не менее чем 5 (пять) пунктов приема должны быть организованы на территории Санкт-Петербурга в пешей доступности от станции метрополитена (под пешей доступностью, в силу п. 11.24 СП 42.13330.2016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 Пункт (пункты) должны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</w:t>
      </w:r>
    </w:p>
    <w:p w:rsidR="00E56EBB" w:rsidRDefault="00E56EBB" w:rsidP="00E56EBB">
      <w:pPr>
        <w:ind w:right="282" w:firstLine="426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0662FF" w:rsidRPr="003A597F" w:rsidRDefault="000662FF" w:rsidP="000662FF">
      <w:pPr>
        <w:suppressAutoHyphens/>
        <w:ind w:right="282" w:firstLine="426"/>
        <w:jc w:val="both"/>
        <w:rPr>
          <w:color w:val="000000"/>
        </w:rPr>
      </w:pPr>
      <w:r w:rsidRPr="003A597F">
        <w:rPr>
          <w:color w:val="000000"/>
        </w:rPr>
        <w:t xml:space="preserve"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 сопроводительным письмом с приложением. </w:t>
      </w:r>
    </w:p>
    <w:p w:rsidR="000662FF" w:rsidRPr="003A597F" w:rsidRDefault="000662FF" w:rsidP="000662FF">
      <w:pPr>
        <w:suppressAutoHyphens/>
        <w:ind w:right="282" w:firstLine="426"/>
        <w:jc w:val="both"/>
        <w:rPr>
          <w:color w:val="000000"/>
        </w:rPr>
      </w:pPr>
      <w:r w:rsidRPr="003A597F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0662FF" w:rsidRPr="003A597F" w:rsidRDefault="000662FF" w:rsidP="000662FF">
      <w:pPr>
        <w:suppressAutoHyphens/>
        <w:ind w:right="282" w:firstLine="426"/>
        <w:jc w:val="both"/>
        <w:rPr>
          <w:color w:val="000000"/>
        </w:rPr>
      </w:pPr>
      <w:r w:rsidRPr="003A597F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  <w:rPr>
          <w:lang w:eastAsia="ar-SA"/>
        </w:rPr>
      </w:pPr>
      <w:r w:rsidRPr="007D3D2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D3D27">
        <w:rPr>
          <w:lang w:eastAsia="ar-SA"/>
        </w:rPr>
        <w:t>Роспотребнадзора</w:t>
      </w:r>
      <w:proofErr w:type="spellEnd"/>
      <w:r w:rsidRPr="007D3D27">
        <w:rPr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7D3D27">
        <w:rPr>
          <w:color w:val="FF0000"/>
          <w:lang w:eastAsia="ar-SA"/>
        </w:rPr>
        <w:t xml:space="preserve"> </w:t>
      </w:r>
      <w:r w:rsidRPr="007D3D2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D3D27">
        <w:rPr>
          <w:lang w:eastAsia="ar-SA"/>
        </w:rPr>
        <w:t>коронавирусной</w:t>
      </w:r>
      <w:proofErr w:type="spellEnd"/>
      <w:r w:rsidRPr="007D3D27">
        <w:rPr>
          <w:lang w:eastAsia="ar-SA"/>
        </w:rPr>
        <w:t xml:space="preserve"> инфекции (COVID-19).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rPr>
          <w:lang w:eastAsia="ar-SA"/>
        </w:rPr>
        <w:t xml:space="preserve">2.6. </w:t>
      </w:r>
      <w:r w:rsidRPr="007D3D27">
        <w:t>Предоставить доступное для Получателей помещение под размещение пункта (пунктов) приема в соответствии со статьей 15 Федерального закона от 24.11.1995 № 181</w:t>
      </w:r>
      <w:r>
        <w:t xml:space="preserve"> </w:t>
      </w:r>
      <w:r w:rsidRPr="007D3D27">
        <w:t>«О социальной защите инвалидов в Российской Федерации».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</w:t>
      </w:r>
      <w:r w:rsidRPr="007D3D27">
        <w:lastRenderedPageBreak/>
        <w:t>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«Свод правил. 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</w:t>
      </w:r>
      <w:r w:rsidRPr="007D3D27">
        <w:rPr>
          <w:lang w:eastAsia="ar-SA"/>
        </w:rPr>
        <w:t>пунктов) приема</w:t>
      </w:r>
      <w:r w:rsidRPr="007D3D27">
        <w:t>, в том числе с помощью его работников, а также сменного кресла-коляски.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rPr>
          <w:b/>
        </w:rPr>
        <w:t>Входная группа</w:t>
      </w:r>
      <w:r w:rsidRPr="007D3D27">
        <w:t xml:space="preserve"> 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>При перепадах высот Исполнитель должен учитывать наличие следующих элементов: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- Пандус с поручнями;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(в соответствии с п. 5.1.14 – п. 5.1.16; п. 6.1.2 – п. 6.1.4; п. 6.2.9 – п. 6.2.11 СП 59.13330.2020);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Пандус должен иметь нормативный угол наклона, непрерывное двухстороннее ограждение с поручнями шириной не более 0,9 - 1,0 метра, высотой нижних поручней 0,7 м, а верхних 0,9 м.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- Лестница с поручнями;</w:t>
      </w:r>
    </w:p>
    <w:p w:rsidR="000662FF" w:rsidRPr="007D3D27" w:rsidRDefault="000662FF" w:rsidP="000662FF">
      <w:pPr>
        <w:autoSpaceDE w:val="0"/>
        <w:autoSpaceDN w:val="0"/>
        <w:adjustRightInd w:val="0"/>
        <w:ind w:right="282"/>
        <w:jc w:val="both"/>
      </w:pPr>
      <w:r w:rsidRPr="007D3D27"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Краевые ступени (плоскость) лестниц необходимо обеспечить противоскользящими контрастными полосами общей шириной 0,08 - 0,1 м (в соответствии с п. 6.2.8 СП 59.13330.2020)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Применение для инвалидов вместо пандусов аппарелей не допускается на объекте (в соответствии с п. 6.1.2 СП 59.13330.2020).</w:t>
      </w:r>
    </w:p>
    <w:p w:rsidR="000662FF" w:rsidRPr="007D3D27" w:rsidRDefault="000662FF" w:rsidP="000662FF">
      <w:pPr>
        <w:suppressAutoHyphens/>
        <w:ind w:right="282"/>
        <w:jc w:val="both"/>
        <w:rPr>
          <w:color w:val="000000"/>
        </w:rPr>
      </w:pPr>
      <w:r w:rsidRPr="007D3D2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м. (</w:t>
      </w:r>
      <w:r w:rsidRPr="007D3D27">
        <w:t xml:space="preserve">в соответствии с </w:t>
      </w:r>
      <w:r w:rsidRPr="007D3D27">
        <w:rPr>
          <w:color w:val="000000"/>
        </w:rPr>
        <w:t>п. 6.1.5, п. 6.1.6, п. 6.2.4 СП 59.13330.2020)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- Тактильно-контрастные указатели;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0662FF" w:rsidRPr="007D3D27" w:rsidRDefault="000662FF" w:rsidP="000662FF">
      <w:pPr>
        <w:suppressAutoHyphens/>
        <w:ind w:right="282" w:firstLine="426"/>
        <w:jc w:val="both"/>
        <w:rPr>
          <w:b/>
        </w:rPr>
      </w:pPr>
      <w:r w:rsidRPr="007D3D27">
        <w:rPr>
          <w:b/>
        </w:rPr>
        <w:t>Пути движения внутри пункта (пунктов) приема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>При перепадах высот Исполнитель должен учитывать наличие следующих элементов: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 xml:space="preserve">- Лифт, подъемная платформа, эскалатор </w:t>
      </w:r>
    </w:p>
    <w:p w:rsidR="000662FF" w:rsidRPr="007D3D27" w:rsidRDefault="000662FF" w:rsidP="000662FF">
      <w:pPr>
        <w:suppressAutoHyphens/>
        <w:ind w:right="282"/>
        <w:jc w:val="both"/>
        <w:rPr>
          <w:b/>
        </w:rPr>
      </w:pPr>
      <w:r w:rsidRPr="007D3D27">
        <w:t>(в соответствии с п. 6.2.13 – п. 6.2.18 СП 59.13330.2020).</w:t>
      </w:r>
      <w:r w:rsidRPr="007D3D27">
        <w:rPr>
          <w:b/>
        </w:rPr>
        <w:t xml:space="preserve"> 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Лифт должен иметь габариты не менее 1100 х 1400 мм (ширина х глубина).</w:t>
      </w:r>
    </w:p>
    <w:p w:rsidR="000662FF" w:rsidRPr="007D3D27" w:rsidRDefault="000662FF" w:rsidP="000662FF">
      <w:pPr>
        <w:suppressAutoHyphens/>
        <w:ind w:right="282"/>
        <w:jc w:val="both"/>
        <w:rPr>
          <w:b/>
        </w:rPr>
      </w:pPr>
      <w:r w:rsidRPr="007D3D27">
        <w:t>- Лестницы необходимо обеспечить противоскользящими контрастными полосами общей шириной 0,08 - 0,1м (в соответствии с п. 6.2.8 СП 59.13330.2020).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-  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 w:rsidR="000662FF" w:rsidRPr="007D3D27" w:rsidRDefault="000662FF" w:rsidP="000662FF">
      <w:pPr>
        <w:suppressAutoHyphens/>
        <w:ind w:right="282"/>
        <w:jc w:val="both"/>
      </w:pPr>
      <w:r w:rsidRPr="007D3D27">
        <w:t xml:space="preserve">- </w:t>
      </w:r>
      <w:proofErr w:type="gramStart"/>
      <w:r w:rsidRPr="007D3D27">
        <w:t>В</w:t>
      </w:r>
      <w:proofErr w:type="gramEnd"/>
      <w:r w:rsidRPr="007D3D27"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0662FF" w:rsidRPr="007D3D27" w:rsidRDefault="000662FF" w:rsidP="000662FF">
      <w:pPr>
        <w:suppressAutoHyphens/>
        <w:ind w:right="282" w:firstLine="426"/>
        <w:jc w:val="both"/>
        <w:rPr>
          <w:b/>
        </w:rPr>
      </w:pPr>
      <w:r w:rsidRPr="007D3D27">
        <w:rPr>
          <w:b/>
        </w:rPr>
        <w:t>Пути эвакуации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 xml:space="preserve">В случае невозможности соблюдения положений части 15 статьи 89 </w:t>
      </w:r>
      <w:hyperlink r:id="rId5" w:history="1">
        <w:r w:rsidRPr="007D3D27">
          <w:t xml:space="preserve">Федерального закона </w:t>
        </w:r>
        <w:r w:rsidRPr="007D3D27">
          <w:br/>
          <w:t>от 22.07.2008 № 123-ФЗ «Технический регламент о требованиях пожарной безопасности</w:t>
        </w:r>
      </w:hyperlink>
      <w:r w:rsidRPr="007D3D27">
        <w:t xml:space="preserve">» </w:t>
      </w:r>
      <w:r w:rsidRPr="007D3D27">
        <w:lastRenderedPageBreak/>
        <w:t>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>Пути эвакуации помещений пункта (пунктов) приема должны обеспечивать безопасность посетителей в соответствии с п. 6.2.19 - п. 6.2.32 СП 59.13330.2020.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>Обеспечить систему двухсторонней связи с диспетчером или дежурным (в соответствии с п. 6.5.8 СП 59.13330.2020).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</w:t>
      </w:r>
      <w:r>
        <w:t xml:space="preserve"> (с Поправкой, с Изменениями №1, 2, 3)</w:t>
      </w:r>
      <w:r w:rsidRPr="007D3D27">
        <w:t>, со свободным доступом Получателей. При чем не менее 1 (одной) оборудованной для посещения Получателями в соответствии с п. 6.3.3, 6.3.6, 6.3.9 СП 59.13330.2020)</w:t>
      </w:r>
      <w:hyperlink r:id="rId6" w:history="1"/>
      <w:r w:rsidRPr="007D3D27">
        <w:t>.</w:t>
      </w:r>
    </w:p>
    <w:p w:rsidR="000662FF" w:rsidRPr="007D3D27" w:rsidRDefault="000662FF" w:rsidP="000662FF">
      <w:pPr>
        <w:ind w:right="282" w:firstLine="426"/>
        <w:jc w:val="both"/>
        <w:rPr>
          <w:lang w:eastAsia="en-US"/>
        </w:rPr>
      </w:pPr>
      <w:r w:rsidRPr="007D3D2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D3D27">
        <w:rPr>
          <w:lang w:eastAsia="en-US"/>
        </w:rPr>
        <w:t xml:space="preserve"> </w:t>
      </w:r>
      <w:r w:rsidRPr="007D3D2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0662FF" w:rsidRPr="007D3D27" w:rsidRDefault="000662FF" w:rsidP="000662FF">
      <w:pPr>
        <w:suppressAutoHyphens/>
        <w:ind w:right="282" w:firstLine="426"/>
        <w:jc w:val="both"/>
      </w:pPr>
      <w:r w:rsidRPr="007D3D27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D3D27">
        <w:rPr>
          <w:lang w:eastAsia="ar-SA"/>
        </w:rPr>
        <w:t xml:space="preserve">пункта </w:t>
      </w:r>
      <w:r w:rsidRPr="007D3D27">
        <w:t>(пунктов)</w:t>
      </w:r>
      <w:r w:rsidRPr="007D3D27">
        <w:rPr>
          <w:lang w:eastAsia="ar-SA"/>
        </w:rPr>
        <w:t xml:space="preserve"> приема</w:t>
      </w:r>
      <w:r w:rsidRPr="007D3D2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>2.6.4</w:t>
      </w:r>
      <w:r>
        <w:t>.</w:t>
      </w:r>
      <w:r w:rsidRPr="007D3D27">
        <w:t xml:space="preserve">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>2.6.5. Пункт (пункты) приема должны иметь следующие условия доступности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>- возможность беспрепятственного входа в объекты и выхода из них;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D3D27">
        <w:t>ассистивных</w:t>
      </w:r>
      <w:proofErr w:type="spellEnd"/>
      <w:r w:rsidRPr="007D3D27">
        <w:t xml:space="preserve"> и вспомогательных технологий, а также сменного кресла-коляски;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662FF" w:rsidRPr="007D3D27" w:rsidRDefault="000662FF" w:rsidP="000662FF">
      <w:pPr>
        <w:widowControl w:val="0"/>
        <w:ind w:right="282" w:firstLine="426"/>
        <w:jc w:val="both"/>
      </w:pPr>
      <w:r w:rsidRPr="007D3D2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7D3D27">
          <w:t>форме</w:t>
        </w:r>
      </w:hyperlink>
      <w:r w:rsidRPr="007D3D27">
        <w:t xml:space="preserve"> и в </w:t>
      </w:r>
      <w:hyperlink r:id="rId8" w:anchor="block_2000" w:history="1">
        <w:r w:rsidRPr="007D3D27">
          <w:t>порядке</w:t>
        </w:r>
      </w:hyperlink>
      <w:r w:rsidRPr="007D3D27">
        <w:t xml:space="preserve">, утвержденных </w:t>
      </w:r>
      <w:hyperlink r:id="rId9" w:history="1">
        <w:r w:rsidRPr="007D3D27">
          <w:t>приказом</w:t>
        </w:r>
      </w:hyperlink>
      <w:r w:rsidRPr="007D3D27">
        <w:t xml:space="preserve"> Министерства труда и социальной защиты Российской Федерации от 22 июня 2015 года № 386н (зарегистрирован Министерством юстиции Российской Федерации 21 июля 2015 года, регистрационный № 38115).</w:t>
      </w:r>
    </w:p>
    <w:p w:rsidR="000662FF" w:rsidRPr="007D3D27" w:rsidRDefault="000662FF" w:rsidP="000662FF">
      <w:pPr>
        <w:autoSpaceDE w:val="0"/>
        <w:ind w:right="282" w:firstLine="426"/>
        <w:jc w:val="both"/>
      </w:pPr>
      <w:r w:rsidRPr="007D3D27">
        <w:rPr>
          <w:lang w:eastAsia="ar-SA"/>
        </w:rPr>
        <w:t xml:space="preserve">2.7. </w:t>
      </w:r>
      <w:r w:rsidRPr="007D3D27"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</w:t>
      </w:r>
      <w:r w:rsidRPr="007D3D27">
        <w:lastRenderedPageBreak/>
        <w:t xml:space="preserve">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0662FF" w:rsidRPr="007D3D27" w:rsidRDefault="000662FF" w:rsidP="000662FF">
      <w:pPr>
        <w:ind w:right="282" w:firstLine="426"/>
        <w:jc w:val="both"/>
      </w:pPr>
      <w:r w:rsidRPr="007D3D27"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0662FF" w:rsidRPr="007D3D27" w:rsidRDefault="000662FF" w:rsidP="000662FF">
      <w:pPr>
        <w:ind w:right="282" w:firstLine="426"/>
        <w:jc w:val="both"/>
      </w:pPr>
      <w:r w:rsidRPr="007D3D27"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0662FF" w:rsidRPr="007D3D27" w:rsidRDefault="000662FF" w:rsidP="000662FF">
      <w:pPr>
        <w:ind w:right="282" w:firstLine="426"/>
        <w:jc w:val="both"/>
      </w:pPr>
      <w:r w:rsidRPr="007D3D27">
        <w:t>Вести аудиозапись телефонных разговоров с Получателями по вопросам получения Изделий.</w:t>
      </w:r>
    </w:p>
    <w:p w:rsidR="000662FF" w:rsidRPr="007D3D27" w:rsidRDefault="000662FF" w:rsidP="000662FF">
      <w:pPr>
        <w:ind w:right="282" w:firstLine="426"/>
        <w:jc w:val="both"/>
      </w:pPr>
      <w:r w:rsidRPr="007D3D27">
        <w:t>Предоставлять Заказчику в рамках подтверждения исполнения государственного контракта журнал телефонных звонков.</w:t>
      </w:r>
    </w:p>
    <w:p w:rsidR="000662FF" w:rsidRPr="007D3D27" w:rsidRDefault="000662FF" w:rsidP="000662FF">
      <w:pPr>
        <w:ind w:right="282" w:firstLine="426"/>
        <w:jc w:val="both"/>
      </w:pPr>
      <w:r w:rsidRPr="007D3D27">
        <w:t xml:space="preserve"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адресам: </w:t>
      </w:r>
      <w:hyperlink r:id="rId10" w:history="1">
        <w:r w:rsidRPr="007D3D27">
          <w:rPr>
            <w:rStyle w:val="a3"/>
          </w:rPr>
          <w:t>osp@ro78.fss.ru</w:t>
        </w:r>
      </w:hyperlink>
      <w:r w:rsidRPr="007D3D27">
        <w:t xml:space="preserve">, </w:t>
      </w:r>
      <w:hyperlink r:id="rId11" w:history="1">
        <w:r w:rsidRPr="007D3D27">
          <w:rPr>
            <w:rStyle w:val="a3"/>
          </w:rPr>
          <w:t>tsrfil31@ro78.fss.ru</w:t>
        </w:r>
      </w:hyperlink>
      <w:r w:rsidRPr="007D3D27">
        <w:t>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>номер контактного телефона;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>адрес электронной почты;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0662FF" w:rsidRPr="007D3D27" w:rsidRDefault="000662FF" w:rsidP="000662FF">
      <w:pPr>
        <w:numPr>
          <w:ilvl w:val="0"/>
          <w:numId w:val="1"/>
        </w:numPr>
        <w:autoSpaceDE w:val="0"/>
        <w:autoSpaceDN w:val="0"/>
        <w:adjustRightInd w:val="0"/>
        <w:ind w:left="0" w:right="282" w:firstLine="426"/>
        <w:contextualSpacing/>
        <w:jc w:val="both"/>
        <w:rPr>
          <w:lang w:eastAsia="en-US"/>
        </w:rPr>
      </w:pPr>
      <w:r w:rsidRPr="007D3D27">
        <w:rPr>
          <w:lang w:eastAsia="en-US"/>
        </w:rPr>
        <w:t xml:space="preserve">срок </w:t>
      </w:r>
      <w:proofErr w:type="spellStart"/>
      <w:r w:rsidRPr="007D3D27">
        <w:rPr>
          <w:lang w:eastAsia="en-US"/>
        </w:rPr>
        <w:t>соисполнительства</w:t>
      </w:r>
      <w:proofErr w:type="spellEnd"/>
      <w:r w:rsidRPr="007D3D27">
        <w:rPr>
          <w:lang w:eastAsia="en-US"/>
        </w:rPr>
        <w:t>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0662FF" w:rsidRPr="007D3D27" w:rsidRDefault="000662FF" w:rsidP="000662FF">
      <w:pPr>
        <w:autoSpaceDE w:val="0"/>
        <w:autoSpaceDN w:val="0"/>
        <w:adjustRightInd w:val="0"/>
        <w:ind w:right="282" w:firstLine="426"/>
        <w:jc w:val="both"/>
      </w:pPr>
      <w:r w:rsidRPr="007D3D2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</w:t>
      </w:r>
      <w:hyperlink r:id="rId12" w:history="1">
        <w:r w:rsidRPr="007D3D27">
          <w:rPr>
            <w:rStyle w:val="a3"/>
          </w:rPr>
          <w:t>osp@ro78.fss.ru</w:t>
        </w:r>
      </w:hyperlink>
      <w:r w:rsidRPr="007D3D27">
        <w:t xml:space="preserve">. </w:t>
      </w:r>
    </w:p>
    <w:p w:rsidR="000662FF" w:rsidRPr="007D3D27" w:rsidRDefault="000662FF" w:rsidP="000662FF">
      <w:pPr>
        <w:spacing w:before="120"/>
        <w:ind w:right="282" w:firstLine="425"/>
        <w:jc w:val="both"/>
      </w:pPr>
      <w:r w:rsidRPr="007D3D2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Изделий и соответствия пункта (пунктов) приема требованиям настоящего технического задания. При проведении проверки Заказчик вправе осуществлять </w:t>
      </w:r>
      <w:proofErr w:type="spellStart"/>
      <w:r w:rsidRPr="007D3D27">
        <w:t>фотофиксацию</w:t>
      </w:r>
      <w:proofErr w:type="spellEnd"/>
      <w:r w:rsidRPr="007D3D27">
        <w:t xml:space="preserve"> и/или видеозапись.</w:t>
      </w:r>
    </w:p>
    <w:p w:rsidR="000662FF" w:rsidRPr="008B5635" w:rsidRDefault="000662FF" w:rsidP="000662FF">
      <w:pPr>
        <w:ind w:firstLine="709"/>
        <w:jc w:val="center"/>
      </w:pPr>
    </w:p>
    <w:p w:rsidR="006A3C20" w:rsidRDefault="006A3C20"/>
    <w:sectPr w:rsidR="006A3C20" w:rsidSect="000662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pStyle w:val="Normal1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12"/>
    <w:rsid w:val="000662FF"/>
    <w:rsid w:val="00093273"/>
    <w:rsid w:val="004A545E"/>
    <w:rsid w:val="004F47AB"/>
    <w:rsid w:val="005E61FB"/>
    <w:rsid w:val="006A3C20"/>
    <w:rsid w:val="00C85812"/>
    <w:rsid w:val="00E56EBB"/>
    <w:rsid w:val="00E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7878-C37A-4A17-9B9D-1C6751F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662FF"/>
    <w:rPr>
      <w:color w:val="0000FF"/>
      <w:u w:val="single"/>
    </w:rPr>
  </w:style>
  <w:style w:type="paragraph" w:customStyle="1" w:styleId="Normal1">
    <w:name w:val="Normal1"/>
    <w:rsid w:val="000662FF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hyperlink" Target="mailto:osp@ro78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hyperlink" Target="mailto:tsrfil31@ro78.fss.ru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hyperlink" Target="mailto:osp@ro78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Рита Александровна</dc:creator>
  <cp:keywords/>
  <dc:description/>
  <cp:lastModifiedBy>Кузнецова Рита Александровна</cp:lastModifiedBy>
  <cp:revision>2</cp:revision>
  <dcterms:created xsi:type="dcterms:W3CDTF">2022-01-19T14:55:00Z</dcterms:created>
  <dcterms:modified xsi:type="dcterms:W3CDTF">2022-01-19T14:55:00Z</dcterms:modified>
</cp:coreProperties>
</file>