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F4" w:rsidRPr="00F108E9" w:rsidRDefault="006E7CF4" w:rsidP="006E7CF4">
      <w:pPr>
        <w:tabs>
          <w:tab w:val="left" w:pos="6600"/>
        </w:tabs>
        <w:jc w:val="center"/>
        <w:rPr>
          <w:b/>
        </w:rPr>
      </w:pPr>
      <w:r w:rsidRPr="00F108E9">
        <w:rPr>
          <w:b/>
          <w:bCs/>
        </w:rPr>
        <w:t>Техническое задание</w:t>
      </w:r>
      <w:r w:rsidRPr="00F108E9">
        <w:rPr>
          <w:b/>
        </w:rPr>
        <w:t xml:space="preserve"> </w:t>
      </w:r>
    </w:p>
    <w:p w:rsidR="006E7CF4" w:rsidRPr="00611F32" w:rsidRDefault="006E7CF4" w:rsidP="006E7CF4">
      <w:pPr>
        <w:tabs>
          <w:tab w:val="left" w:pos="6600"/>
        </w:tabs>
        <w:autoSpaceDN w:val="0"/>
        <w:spacing w:line="240" w:lineRule="auto"/>
        <w:jc w:val="center"/>
        <w:rPr>
          <w:bCs/>
          <w:kern w:val="3"/>
          <w:lang w:eastAsia="ru-RU"/>
        </w:rPr>
      </w:pPr>
      <w:r w:rsidRPr="00F108E9">
        <w:rPr>
          <w:b/>
          <w:bCs/>
        </w:rPr>
        <w:t xml:space="preserve">на </w:t>
      </w:r>
      <w:r w:rsidRPr="00927674">
        <w:rPr>
          <w:b/>
          <w:szCs w:val="22"/>
        </w:rPr>
        <w:t xml:space="preserve">выполнение работ для обеспечения инвалидов и отдельных категорий граждан из числа ветеранов </w:t>
      </w:r>
      <w:r w:rsidRPr="009F33B4">
        <w:rPr>
          <w:b/>
          <w:szCs w:val="22"/>
        </w:rPr>
        <w:t>аппаратами</w:t>
      </w:r>
      <w:r w:rsidRPr="00611F32">
        <w:rPr>
          <w:bCs/>
          <w:kern w:val="3"/>
          <w:lang w:eastAsia="ru-RU"/>
        </w:rPr>
        <w:t>.</w:t>
      </w:r>
    </w:p>
    <w:p w:rsidR="006E7CF4" w:rsidRPr="00611F32" w:rsidRDefault="006E7CF4" w:rsidP="006E7CF4">
      <w:pPr>
        <w:widowControl w:val="0"/>
        <w:jc w:val="center"/>
        <w:rPr>
          <w:color w:val="000000"/>
          <w:lang w:eastAsia="ru-RU"/>
        </w:rPr>
      </w:pPr>
    </w:p>
    <w:tbl>
      <w:tblPr>
        <w:tblW w:w="15078" w:type="dxa"/>
        <w:tblInd w:w="-9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10" w:type="dxa"/>
          <w:right w:w="10" w:type="dxa"/>
        </w:tblCellMar>
        <w:tblLook w:val="0000" w:firstRow="0" w:lastRow="0" w:firstColumn="0" w:lastColumn="0" w:noHBand="0" w:noVBand="0"/>
      </w:tblPr>
      <w:tblGrid>
        <w:gridCol w:w="423"/>
        <w:gridCol w:w="1144"/>
        <w:gridCol w:w="1559"/>
        <w:gridCol w:w="6521"/>
        <w:gridCol w:w="4677"/>
        <w:gridCol w:w="754"/>
      </w:tblGrid>
      <w:tr w:rsidR="006E7CF4" w:rsidRPr="00E20506" w:rsidTr="00BD637A">
        <w:trPr>
          <w:trHeight w:val="52"/>
        </w:trPr>
        <w:tc>
          <w:tcPr>
            <w:tcW w:w="423" w:type="dxa"/>
            <w:tcMar>
              <w:top w:w="55" w:type="dxa"/>
              <w:left w:w="55" w:type="dxa"/>
              <w:bottom w:w="55" w:type="dxa"/>
              <w:right w:w="55" w:type="dxa"/>
            </w:tcMar>
            <w:vAlign w:val="center"/>
          </w:tcPr>
          <w:p w:rsidR="006E7CF4" w:rsidRPr="00E20506" w:rsidRDefault="006E7CF4" w:rsidP="00BD637A">
            <w:pPr>
              <w:jc w:val="center"/>
              <w:rPr>
                <w:b/>
                <w:bCs/>
                <w:szCs w:val="20"/>
                <w:shd w:val="clear" w:color="auto" w:fill="FFFFFF"/>
              </w:rPr>
            </w:pPr>
            <w:r w:rsidRPr="00E20506">
              <w:rPr>
                <w:b/>
                <w:bCs/>
                <w:sz w:val="20"/>
                <w:szCs w:val="20"/>
                <w:shd w:val="clear" w:color="auto" w:fill="FFFFFF"/>
              </w:rPr>
              <w:t>№ п/п</w:t>
            </w:r>
          </w:p>
        </w:tc>
        <w:tc>
          <w:tcPr>
            <w:tcW w:w="2703" w:type="dxa"/>
            <w:gridSpan w:val="2"/>
            <w:tcBorders>
              <w:right w:val="single" w:sz="4" w:space="0" w:color="auto"/>
            </w:tcBorders>
          </w:tcPr>
          <w:p w:rsidR="006E7CF4" w:rsidRPr="00E20506" w:rsidRDefault="006E7CF4" w:rsidP="00BD637A">
            <w:pPr>
              <w:jc w:val="center"/>
              <w:rPr>
                <w:b/>
                <w:bCs/>
                <w:sz w:val="18"/>
                <w:szCs w:val="18"/>
                <w:shd w:val="clear" w:color="auto" w:fill="FFFFFF"/>
              </w:rPr>
            </w:pPr>
            <w:r w:rsidRPr="00E20506">
              <w:rPr>
                <w:b/>
                <w:bCs/>
                <w:sz w:val="18"/>
                <w:szCs w:val="18"/>
                <w:shd w:val="clear" w:color="auto" w:fill="FFFFFF"/>
              </w:rPr>
              <w:t>Наименование работы</w:t>
            </w:r>
            <w:r w:rsidRPr="00E20506">
              <w:rPr>
                <w:b/>
                <w:bCs/>
                <w:sz w:val="18"/>
                <w:szCs w:val="18"/>
                <w:shd w:val="clear" w:color="auto" w:fill="FFFFFF"/>
                <w:vertAlign w:val="superscript"/>
              </w:rPr>
              <w:footnoteReference w:id="1"/>
            </w:r>
          </w:p>
        </w:tc>
        <w:tc>
          <w:tcPr>
            <w:tcW w:w="11198" w:type="dxa"/>
            <w:gridSpan w:val="2"/>
            <w:tcBorders>
              <w:left w:val="single" w:sz="4" w:space="0" w:color="auto"/>
            </w:tcBorders>
            <w:vAlign w:val="center"/>
          </w:tcPr>
          <w:p w:rsidR="006E7CF4" w:rsidRPr="00E20506" w:rsidRDefault="006E7CF4" w:rsidP="00BD637A">
            <w:pPr>
              <w:jc w:val="center"/>
              <w:rPr>
                <w:b/>
                <w:bCs/>
                <w:sz w:val="18"/>
                <w:szCs w:val="18"/>
                <w:shd w:val="clear" w:color="auto" w:fill="FFFFFF"/>
              </w:rPr>
            </w:pPr>
            <w:r w:rsidRPr="00E20506">
              <w:rPr>
                <w:b/>
                <w:bCs/>
                <w:sz w:val="18"/>
                <w:szCs w:val="18"/>
                <w:shd w:val="clear" w:color="auto" w:fill="FFFFFF"/>
              </w:rPr>
              <w:t>Функциональные, технические, качественные характеристики, эксплуатационные характеристики</w:t>
            </w:r>
          </w:p>
        </w:tc>
        <w:tc>
          <w:tcPr>
            <w:tcW w:w="754" w:type="dxa"/>
            <w:tcMar>
              <w:top w:w="55" w:type="dxa"/>
              <w:left w:w="55" w:type="dxa"/>
              <w:bottom w:w="55" w:type="dxa"/>
              <w:right w:w="55" w:type="dxa"/>
            </w:tcMar>
            <w:vAlign w:val="center"/>
          </w:tcPr>
          <w:p w:rsidR="006E7CF4" w:rsidRPr="00E20506" w:rsidRDefault="006E7CF4" w:rsidP="00BD637A">
            <w:pPr>
              <w:jc w:val="center"/>
              <w:rPr>
                <w:b/>
                <w:bCs/>
                <w:sz w:val="18"/>
                <w:szCs w:val="18"/>
                <w:shd w:val="clear" w:color="auto" w:fill="FFFFFF"/>
              </w:rPr>
            </w:pPr>
            <w:r w:rsidRPr="00E20506">
              <w:rPr>
                <w:b/>
                <w:bCs/>
                <w:sz w:val="18"/>
                <w:szCs w:val="18"/>
                <w:shd w:val="clear" w:color="auto" w:fill="FFFFFF"/>
              </w:rPr>
              <w:t>Кол-во (шт.)</w:t>
            </w:r>
          </w:p>
        </w:tc>
      </w:tr>
      <w:tr w:rsidR="006E7CF4" w:rsidRPr="00E20506" w:rsidTr="00BD637A">
        <w:trPr>
          <w:trHeight w:val="539"/>
        </w:trPr>
        <w:tc>
          <w:tcPr>
            <w:tcW w:w="423" w:type="dxa"/>
            <w:tcMar>
              <w:top w:w="55" w:type="dxa"/>
              <w:left w:w="55" w:type="dxa"/>
              <w:bottom w:w="55" w:type="dxa"/>
              <w:right w:w="55" w:type="dxa"/>
            </w:tcMar>
          </w:tcPr>
          <w:p w:rsidR="006E7CF4" w:rsidRPr="00E20506" w:rsidRDefault="006E7CF4" w:rsidP="00BD637A">
            <w:pPr>
              <w:jc w:val="center"/>
              <w:rPr>
                <w:bCs/>
                <w:sz w:val="20"/>
                <w:szCs w:val="20"/>
                <w:shd w:val="clear" w:color="auto" w:fill="FFFFFF"/>
              </w:rPr>
            </w:pPr>
            <w:r>
              <w:rPr>
                <w:bCs/>
                <w:sz w:val="20"/>
                <w:szCs w:val="20"/>
                <w:shd w:val="clear" w:color="auto" w:fill="FFFFFF"/>
              </w:rPr>
              <w:t>1</w:t>
            </w:r>
            <w:r w:rsidRPr="00E20506">
              <w:rPr>
                <w:bCs/>
                <w:sz w:val="20"/>
                <w:szCs w:val="20"/>
                <w:shd w:val="clear" w:color="auto" w:fill="FFFFFF"/>
              </w:rPr>
              <w:t>.</w:t>
            </w:r>
          </w:p>
        </w:tc>
        <w:tc>
          <w:tcPr>
            <w:tcW w:w="1144" w:type="dxa"/>
            <w:vMerge w:val="restart"/>
          </w:tcPr>
          <w:p w:rsidR="006E7CF4" w:rsidRDefault="006E7CF4" w:rsidP="00BD637A">
            <w:pPr>
              <w:jc w:val="center"/>
              <w:rPr>
                <w:bCs/>
                <w:sz w:val="20"/>
                <w:szCs w:val="20"/>
                <w:shd w:val="clear" w:color="auto" w:fill="FFFFFF"/>
              </w:rPr>
            </w:pPr>
          </w:p>
          <w:p w:rsidR="006E7CF4" w:rsidRPr="00CD28D0" w:rsidRDefault="006E7CF4" w:rsidP="00BD637A">
            <w:pPr>
              <w:jc w:val="center"/>
              <w:rPr>
                <w:sz w:val="20"/>
                <w:szCs w:val="20"/>
              </w:rPr>
            </w:pPr>
            <w:r w:rsidRPr="00CD28D0">
              <w:rPr>
                <w:sz w:val="20"/>
                <w:szCs w:val="20"/>
              </w:rPr>
              <w:t>Выполнение работ для обеспечения инвалидов и отдельных категорий граждан из числа ветеранов аппаратами</w:t>
            </w:r>
          </w:p>
        </w:tc>
        <w:tc>
          <w:tcPr>
            <w:tcW w:w="1559" w:type="dxa"/>
            <w:tcBorders>
              <w:right w:val="single" w:sz="4" w:space="0" w:color="auto"/>
            </w:tcBorders>
            <w:tcMar>
              <w:top w:w="55" w:type="dxa"/>
              <w:left w:w="55" w:type="dxa"/>
              <w:bottom w:w="55" w:type="dxa"/>
              <w:right w:w="55" w:type="dxa"/>
            </w:tcMar>
          </w:tcPr>
          <w:p w:rsidR="006E7CF4" w:rsidRPr="00E20506" w:rsidRDefault="006E7CF4" w:rsidP="00BD637A">
            <w:pPr>
              <w:jc w:val="center"/>
              <w:rPr>
                <w:bCs/>
                <w:sz w:val="20"/>
                <w:szCs w:val="20"/>
                <w:shd w:val="clear" w:color="auto" w:fill="FFFFFF"/>
              </w:rPr>
            </w:pPr>
            <w:r w:rsidRPr="00E20506">
              <w:rPr>
                <w:bCs/>
                <w:sz w:val="20"/>
                <w:szCs w:val="20"/>
                <w:shd w:val="clear" w:color="auto" w:fill="FFFFFF"/>
              </w:rPr>
              <w:t>Выполнение работ для обеспечения инвалидов и отдельных категорий граждан из числа ветеранов аппаратами на кисть и лучезапястный сустав</w:t>
            </w:r>
          </w:p>
        </w:tc>
        <w:tc>
          <w:tcPr>
            <w:tcW w:w="6521" w:type="dxa"/>
            <w:tcBorders>
              <w:left w:val="single" w:sz="4" w:space="0" w:color="auto"/>
            </w:tcBorders>
          </w:tcPr>
          <w:p w:rsidR="006E7CF4" w:rsidRPr="00E20506" w:rsidRDefault="006E7CF4" w:rsidP="00BD637A">
            <w:pPr>
              <w:shd w:val="clear" w:color="auto" w:fill="FFFFFF"/>
              <w:tabs>
                <w:tab w:val="left" w:pos="1105"/>
              </w:tabs>
              <w:autoSpaceDE w:val="0"/>
              <w:jc w:val="both"/>
              <w:rPr>
                <w:color w:val="000000"/>
                <w:sz w:val="20"/>
              </w:rPr>
            </w:pPr>
            <w:r w:rsidRPr="00E20506">
              <w:rPr>
                <w:color w:val="000000"/>
                <w:sz w:val="20"/>
              </w:rPr>
              <w:t>1. Наименование технического средства реабилитации в соответствии с Приказом Министерства труда и социальной защиты Российской Федерации от 13.02.2018 г. N 86н: 8-09-28 Аппарат на кисть и лучезапястный сустав.</w:t>
            </w:r>
          </w:p>
          <w:p w:rsidR="006E7CF4" w:rsidRPr="00E20506" w:rsidRDefault="006E7CF4" w:rsidP="00BD637A">
            <w:pPr>
              <w:shd w:val="clear" w:color="auto" w:fill="FFFFFF"/>
              <w:tabs>
                <w:tab w:val="left" w:pos="1105"/>
              </w:tabs>
              <w:autoSpaceDE w:val="0"/>
              <w:jc w:val="both"/>
              <w:rPr>
                <w:color w:val="000000"/>
                <w:sz w:val="20"/>
              </w:rPr>
            </w:pPr>
            <w:r w:rsidRPr="00E20506">
              <w:rPr>
                <w:color w:val="000000"/>
                <w:sz w:val="20"/>
              </w:rPr>
              <w:t>2. Описание: Аппарат на кисть и лучезапястный сустав назначают при: артралгии, артритах, артрозах лучезапястного, запястно-пястных и пястно-фаланговых суставов; парезах мышц кисти; травмах и воспалительных заболеваниях сухожильно-связочного аппарата лучезапястного, запястно-пястных и пястно-фаланговых суставов; карпальном туннельном синдроме и реабилитации после переломов костей кисти, вывихов, подвывихов, операций на лучезапястном, запястно-пястных и пястно-фаланговых суставах. Аппарат на кисть и лучезапястный сустав состоит из гильзы предплечья и кисти, соединённых между собой шинами с шарнирами в области лучезапястного сустава, и элементов крепления. Гильзы предплечья и кисти изготовлены из полиэтилена по индивидуальному гипсовому слепку с предплечья и кисти пациента. Аппарат крепят на конечности посредством текстильных застёжек «велькро».</w:t>
            </w:r>
          </w:p>
        </w:tc>
        <w:tc>
          <w:tcPr>
            <w:tcW w:w="4677" w:type="dxa"/>
            <w:vMerge w:val="restart"/>
            <w:tcBorders>
              <w:left w:val="single" w:sz="2" w:space="0" w:color="000000"/>
              <w:right w:val="single" w:sz="2" w:space="0" w:color="000000"/>
            </w:tcBorders>
          </w:tcPr>
          <w:p w:rsidR="006E7CF4" w:rsidRPr="00E20506" w:rsidRDefault="006E7CF4" w:rsidP="00BD637A">
            <w:pPr>
              <w:shd w:val="clear" w:color="auto" w:fill="FFFFFF"/>
              <w:ind w:left="132" w:right="132" w:firstLine="276"/>
              <w:contextualSpacing/>
              <w:jc w:val="both"/>
              <w:rPr>
                <w:sz w:val="20"/>
                <w:szCs w:val="20"/>
              </w:rPr>
            </w:pPr>
            <w:r w:rsidRPr="00E20506">
              <w:rPr>
                <w:sz w:val="20"/>
                <w:szCs w:val="20"/>
              </w:rPr>
              <w:t>Ортезирование заключается в компенсации частично или полностью утраченных функций опорно-двигательного аппарата с помощью дополнительных внешних устройств (ортезов), обеспечивающих выполнение этих функций. Состав работ по ортезированию и порядок их предоставления производятся в соответствии с</w:t>
            </w:r>
            <w:r>
              <w:rPr>
                <w:sz w:val="20"/>
                <w:szCs w:val="20"/>
              </w:rPr>
              <w:t xml:space="preserve"> пунктом 5.4.2 ГОСТ Р 52877-2021</w:t>
            </w:r>
            <w:r w:rsidRPr="00E20506">
              <w:rPr>
                <w:sz w:val="20"/>
                <w:szCs w:val="20"/>
              </w:rPr>
              <w:t xml:space="preserve">. </w:t>
            </w:r>
          </w:p>
          <w:p w:rsidR="006E7CF4" w:rsidRPr="00E20506" w:rsidRDefault="006E7CF4" w:rsidP="00BD637A">
            <w:pPr>
              <w:shd w:val="clear" w:color="auto" w:fill="FFFFFF"/>
              <w:ind w:left="132" w:right="132" w:firstLine="276"/>
              <w:contextualSpacing/>
              <w:jc w:val="both"/>
              <w:rPr>
                <w:sz w:val="20"/>
                <w:szCs w:val="20"/>
              </w:rPr>
            </w:pPr>
            <w:r w:rsidRPr="00E20506">
              <w:rPr>
                <w:sz w:val="20"/>
                <w:szCs w:val="20"/>
              </w:rPr>
              <w:t>Ортез - техническое устройство, надеваемое на конечность или ее сегмент (сегменты) опорно-двигательного аппарата с целью его фиксации, разгрузки для восстановления нарушенных функций. Выполнение работ по ортезированию направлено на изготовление технических устройств, к которым относятся аппараты ортопедические, корсеты, реклинаторы, туторы, бандажи, комплекты для протезирования женщин после мастэктомии, для обеспечения механической фиксации, разгрузки, компенсации поврежденных или реконструированных суставов, костей, сумочно-связочного или мышечно-связочного аппарата и других функций организма. Ортезы должны отвечать требованиям Государственного стандарта Российской Федерации Г</w:t>
            </w:r>
            <w:r>
              <w:rPr>
                <w:sz w:val="20"/>
                <w:szCs w:val="20"/>
              </w:rPr>
              <w:t>ОСТ Р 51632-2021</w:t>
            </w:r>
            <w:r w:rsidRPr="00E20506">
              <w:rPr>
                <w:sz w:val="20"/>
                <w:szCs w:val="20"/>
              </w:rPr>
              <w:t xml:space="preserve"> «Технические средства реабилитации людей с ограничениями жизнедеятельности. Общие технические требования и методы испытаний».</w:t>
            </w:r>
          </w:p>
          <w:p w:rsidR="006E7CF4" w:rsidRPr="00E20506" w:rsidRDefault="006E7CF4" w:rsidP="00BD637A">
            <w:pPr>
              <w:shd w:val="clear" w:color="auto" w:fill="FFFFFF"/>
              <w:ind w:left="132" w:right="132" w:firstLine="276"/>
              <w:contextualSpacing/>
              <w:jc w:val="both"/>
              <w:rPr>
                <w:b/>
                <w:sz w:val="20"/>
                <w:szCs w:val="20"/>
              </w:rPr>
            </w:pPr>
            <w:r w:rsidRPr="00E20506">
              <w:rPr>
                <w:sz w:val="20"/>
                <w:szCs w:val="20"/>
              </w:rPr>
              <w:lastRenderedPageBreak/>
              <w:t>Упаковка ортезов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6E7CF4" w:rsidRPr="00E20506" w:rsidRDefault="006E7CF4" w:rsidP="00BD637A">
            <w:pPr>
              <w:shd w:val="clear" w:color="auto" w:fill="FFFFFF"/>
              <w:ind w:left="132" w:right="132" w:firstLine="276"/>
              <w:contextualSpacing/>
              <w:jc w:val="both"/>
              <w:rPr>
                <w:b/>
                <w:sz w:val="20"/>
                <w:szCs w:val="20"/>
              </w:rPr>
            </w:pPr>
            <w:r w:rsidRPr="00E20506">
              <w:rPr>
                <w:sz w:val="20"/>
                <w:szCs w:val="20"/>
              </w:rPr>
              <w:t xml:space="preserve">Выполнение работ для обеспечения инвалидов и отдельных категорий граждан из числа ветеранов аппаратами </w:t>
            </w:r>
            <w:r>
              <w:rPr>
                <w:sz w:val="20"/>
                <w:szCs w:val="20"/>
              </w:rPr>
              <w:t>производится до 15 декабря 2022</w:t>
            </w:r>
            <w:r w:rsidRPr="00E20506">
              <w:rPr>
                <w:sz w:val="20"/>
                <w:szCs w:val="20"/>
              </w:rPr>
              <w:t xml:space="preserve"> года. </w:t>
            </w:r>
          </w:p>
          <w:p w:rsidR="006E7CF4" w:rsidRPr="00E20506" w:rsidRDefault="006E7CF4" w:rsidP="00BD637A">
            <w:pPr>
              <w:shd w:val="clear" w:color="auto" w:fill="FFFFFF"/>
              <w:ind w:left="132" w:right="132" w:firstLine="276"/>
              <w:contextualSpacing/>
              <w:jc w:val="both"/>
              <w:rPr>
                <w:sz w:val="20"/>
                <w:szCs w:val="20"/>
              </w:rPr>
            </w:pPr>
            <w:r w:rsidRPr="00E20506">
              <w:rPr>
                <w:sz w:val="20"/>
                <w:szCs w:val="20"/>
              </w:rPr>
              <w:t>Срок выполнения Работ со дня получения списков или обращения инвалида (ветерана) к Исполнителю по направлению Заказчика — не более 24 дней.</w:t>
            </w:r>
          </w:p>
          <w:p w:rsidR="006E7CF4" w:rsidRPr="00E20506" w:rsidRDefault="006E7CF4" w:rsidP="00BD637A">
            <w:pPr>
              <w:shd w:val="clear" w:color="auto" w:fill="FFFFFF"/>
              <w:ind w:left="132" w:right="132" w:firstLine="276"/>
              <w:contextualSpacing/>
              <w:jc w:val="both"/>
              <w:rPr>
                <w:sz w:val="20"/>
                <w:szCs w:val="20"/>
              </w:rPr>
            </w:pPr>
            <w:r w:rsidRPr="00E20506">
              <w:rPr>
                <w:sz w:val="20"/>
                <w:szCs w:val="20"/>
              </w:rPr>
              <w:t>Изготовление аппаратов производится по индивидуальным слепкам.</w:t>
            </w:r>
          </w:p>
          <w:p w:rsidR="006E7CF4" w:rsidRPr="00E20506" w:rsidRDefault="006E7CF4" w:rsidP="00BD637A">
            <w:pPr>
              <w:shd w:val="clear" w:color="auto" w:fill="FFFFFF"/>
              <w:ind w:left="132" w:right="132" w:firstLine="276"/>
              <w:contextualSpacing/>
              <w:jc w:val="both"/>
              <w:rPr>
                <w:sz w:val="20"/>
                <w:szCs w:val="20"/>
              </w:rPr>
            </w:pPr>
            <w:r w:rsidRPr="00E20506">
              <w:rPr>
                <w:sz w:val="20"/>
                <w:szCs w:val="20"/>
              </w:rPr>
              <w:t xml:space="preserve">Место выполнения работ для обеспечения инвалидов и отдельных категорий граждан из числа ветеранов аппаратами – Российская Федерация. Обмеры (примерки) и выдача Результата работ, требующие присутствие Получателя, производятся в Ивановской области, место выполнения иных работ определяется Исполнителем самостоятельно. </w:t>
            </w:r>
          </w:p>
          <w:p w:rsidR="006E7CF4" w:rsidRPr="00E20506" w:rsidRDefault="006E7CF4" w:rsidP="00BD637A">
            <w:pPr>
              <w:shd w:val="clear" w:color="auto" w:fill="FFFFFF"/>
              <w:ind w:left="132" w:right="132" w:firstLine="276"/>
              <w:contextualSpacing/>
              <w:jc w:val="both"/>
              <w:rPr>
                <w:sz w:val="20"/>
                <w:szCs w:val="20"/>
              </w:rPr>
            </w:pPr>
            <w:r w:rsidRPr="00E20506">
              <w:rPr>
                <w:sz w:val="20"/>
                <w:szCs w:val="20"/>
              </w:rPr>
              <w:t>Доставка готового изделия при необходимости по месту жительства инвалида.</w:t>
            </w:r>
          </w:p>
          <w:p w:rsidR="006E7CF4" w:rsidRDefault="006E7CF4" w:rsidP="00BD637A">
            <w:pPr>
              <w:ind w:firstLine="276"/>
              <w:jc w:val="both"/>
              <w:rPr>
                <w:sz w:val="20"/>
                <w:szCs w:val="20"/>
              </w:rPr>
            </w:pPr>
            <w:r w:rsidRPr="00E20506">
              <w:rPr>
                <w:sz w:val="20"/>
                <w:szCs w:val="20"/>
              </w:rPr>
              <w:t>Гарантийный срок устанавливается со дня выдачи готового изделия в эксплуатацию и должен составлять не менее 7 месяцев. В течение этого срока Исполнитель должен производить замену или ремонт изделий бесплатно.</w:t>
            </w:r>
          </w:p>
          <w:p w:rsidR="006E7CF4" w:rsidRPr="00F808B4" w:rsidRDefault="006E7CF4" w:rsidP="00BD637A">
            <w:pPr>
              <w:jc w:val="center"/>
              <w:rPr>
                <w:rFonts w:eastAsia="Andale Sans UI"/>
                <w:b/>
                <w:sz w:val="20"/>
                <w:szCs w:val="20"/>
                <w:lang w:eastAsia="fa-IR" w:bidi="fa-IR"/>
              </w:rPr>
            </w:pPr>
            <w:r w:rsidRPr="00F808B4">
              <w:rPr>
                <w:rFonts w:eastAsia="Andale Sans UI"/>
                <w:b/>
                <w:sz w:val="20"/>
                <w:szCs w:val="20"/>
                <w:lang w:eastAsia="fa-IR" w:bidi="fa-IR"/>
              </w:rPr>
              <w:t>Требования к пункту выдачи Товара.</w:t>
            </w:r>
          </w:p>
          <w:p w:rsidR="006E7CF4" w:rsidRPr="00F808B4" w:rsidRDefault="006E7CF4" w:rsidP="00BD637A">
            <w:pPr>
              <w:ind w:firstLine="266"/>
              <w:jc w:val="both"/>
              <w:rPr>
                <w:rFonts w:eastAsia="Andale Sans UI"/>
                <w:sz w:val="20"/>
                <w:szCs w:val="20"/>
                <w:lang w:eastAsia="fa-IR" w:bidi="fa-IR"/>
              </w:rPr>
            </w:pPr>
            <w:r w:rsidRPr="00F808B4">
              <w:rPr>
                <w:rFonts w:eastAsia="Andale Sans UI"/>
                <w:sz w:val="20"/>
                <w:szCs w:val="20"/>
                <w:lang w:eastAsia="fa-IR" w:bidi="fa-IR"/>
              </w:rPr>
              <w:t>Пункт выдачи должен быть организован в г. Иваново на расстоянии шаговой доступности от остановки общественного транспорта в соответствии с п. 11.24. СП 42.13330.2016 «Градостроительство. Планировка и застройка городских и сельских поселений».</w:t>
            </w:r>
          </w:p>
          <w:p w:rsidR="006E7CF4" w:rsidRPr="00F808B4" w:rsidRDefault="006E7CF4" w:rsidP="00BD637A">
            <w:pPr>
              <w:ind w:firstLine="266"/>
              <w:jc w:val="both"/>
              <w:rPr>
                <w:rFonts w:eastAsia="Andale Sans UI"/>
                <w:sz w:val="20"/>
                <w:szCs w:val="20"/>
                <w:lang w:eastAsia="fa-IR" w:bidi="fa-IR"/>
              </w:rPr>
            </w:pPr>
            <w:r w:rsidRPr="00F808B4">
              <w:rPr>
                <w:rFonts w:eastAsia="Andale Sans UI"/>
                <w:sz w:val="20"/>
                <w:szCs w:val="20"/>
                <w:lang w:eastAsia="fa-IR" w:bidi="fa-IR"/>
              </w:rPr>
              <w:t xml:space="preserve">Пункт выдачи должен иметь отдельный вход с улицы, зону ожидания Получателей, с мебелью для ожидания в сидячем положении. </w:t>
            </w:r>
          </w:p>
          <w:p w:rsidR="006E7CF4" w:rsidRPr="00F808B4" w:rsidRDefault="006E7CF4" w:rsidP="00BD637A">
            <w:pPr>
              <w:ind w:firstLine="266"/>
              <w:jc w:val="both"/>
              <w:rPr>
                <w:rFonts w:eastAsia="Andale Sans UI"/>
                <w:sz w:val="20"/>
                <w:szCs w:val="20"/>
                <w:lang w:eastAsia="fa-IR" w:bidi="fa-IR"/>
              </w:rPr>
            </w:pPr>
            <w:r w:rsidRPr="00F808B4">
              <w:rPr>
                <w:rFonts w:eastAsia="Andale Sans UI"/>
                <w:sz w:val="20"/>
                <w:szCs w:val="20"/>
                <w:lang w:eastAsia="fa-IR" w:bidi="fa-IR"/>
              </w:rPr>
              <w:t>Пункт выдачи должен быть оборудован пандусами или иными приспособлениями для облегчения передвижения инвалидов, расширенными дверными проемами, обеспечивающими свободный доступ Получателей на колясках, (СП 59.13330.2020 «Доступность зданий и сооружений для маломобильных групп населения»), а также оснащен дополнительными информационными указателями (табло, стенды) и др. В целях безопасности участки пола на путях движения человека с инвалидностью должны быть оснащены тактильно-контрастными предупреждающими указателями.</w:t>
            </w:r>
          </w:p>
          <w:p w:rsidR="006E7CF4" w:rsidRPr="00F808B4" w:rsidRDefault="006E7CF4" w:rsidP="00BD637A">
            <w:pPr>
              <w:ind w:firstLine="266"/>
              <w:jc w:val="both"/>
              <w:rPr>
                <w:rFonts w:eastAsia="Andale Sans UI"/>
                <w:sz w:val="20"/>
                <w:szCs w:val="20"/>
                <w:lang w:eastAsia="fa-IR" w:bidi="fa-IR"/>
              </w:rPr>
            </w:pPr>
            <w:r w:rsidRPr="00F808B4">
              <w:rPr>
                <w:rFonts w:eastAsia="Andale Sans UI"/>
                <w:sz w:val="20"/>
                <w:szCs w:val="20"/>
                <w:lang w:eastAsia="fa-IR" w:bidi="fa-IR"/>
              </w:rPr>
              <w:t>Пункт выдачи должен быть оборудован камерами видеофиксации, которые будут вести видеозапись приема-передачи товара Получателям, а также телефонными аппаратами для консультации Получателей ТСР.</w:t>
            </w:r>
          </w:p>
          <w:p w:rsidR="006E7CF4" w:rsidRPr="00F808B4" w:rsidRDefault="006E7CF4" w:rsidP="00BD637A">
            <w:pPr>
              <w:ind w:firstLine="266"/>
              <w:jc w:val="both"/>
              <w:rPr>
                <w:rFonts w:eastAsia="Andale Sans UI"/>
                <w:sz w:val="20"/>
                <w:szCs w:val="20"/>
                <w:lang w:eastAsia="fa-IR" w:bidi="fa-IR"/>
              </w:rPr>
            </w:pPr>
            <w:r w:rsidRPr="00F808B4">
              <w:rPr>
                <w:rFonts w:eastAsia="Andale Sans UI"/>
                <w:sz w:val="20"/>
                <w:szCs w:val="20"/>
                <w:lang w:eastAsia="fa-IR" w:bidi="fa-IR"/>
              </w:rPr>
              <w:t xml:space="preserve">Вход в пункт выдачи должен быть обозначен надписью (например, «Пункт выдачи ТСР для инвалидов»), позволяющей однозначно определить место нахождения указанного пункта. </w:t>
            </w:r>
          </w:p>
          <w:p w:rsidR="006E7CF4" w:rsidRPr="00E20506" w:rsidRDefault="006E7CF4" w:rsidP="00BD637A">
            <w:pPr>
              <w:ind w:firstLine="266"/>
              <w:jc w:val="both"/>
              <w:rPr>
                <w:sz w:val="20"/>
                <w:szCs w:val="20"/>
              </w:rPr>
            </w:pPr>
            <w:r w:rsidRPr="00F808B4">
              <w:rPr>
                <w:rFonts w:eastAsia="Andale Sans UI"/>
                <w:sz w:val="20"/>
                <w:szCs w:val="20"/>
                <w:lang w:eastAsia="fa-IR" w:bidi="fa-IR"/>
              </w:rPr>
              <w:t>Пункт выдачи должен иметь туалетную комнату, оборудованную для посещения инвалидами, в том числе инвалидами-колясочниками, со свободным и бесплатным доступом Получателей.</w:t>
            </w:r>
          </w:p>
        </w:tc>
        <w:tc>
          <w:tcPr>
            <w:tcW w:w="754" w:type="dxa"/>
            <w:tcBorders>
              <w:top w:val="single" w:sz="2" w:space="0" w:color="000000"/>
              <w:left w:val="single" w:sz="2" w:space="0" w:color="000000"/>
              <w:bottom w:val="single" w:sz="2" w:space="0" w:color="000000"/>
            </w:tcBorders>
          </w:tcPr>
          <w:p w:rsidR="006E7CF4" w:rsidRPr="009A133E" w:rsidRDefault="006E7CF4" w:rsidP="00BD637A">
            <w:pPr>
              <w:jc w:val="center"/>
              <w:rPr>
                <w:sz w:val="20"/>
                <w:szCs w:val="20"/>
                <w:shd w:val="clear" w:color="auto" w:fill="FFFFFF"/>
              </w:rPr>
            </w:pPr>
            <w:r w:rsidRPr="009A133E">
              <w:rPr>
                <w:sz w:val="20"/>
                <w:szCs w:val="20"/>
                <w:shd w:val="clear" w:color="auto" w:fill="FFFFFF"/>
              </w:rPr>
              <w:lastRenderedPageBreak/>
              <w:t>1</w:t>
            </w:r>
          </w:p>
        </w:tc>
      </w:tr>
      <w:tr w:rsidR="006E7CF4" w:rsidRPr="00E20506" w:rsidTr="00BD637A">
        <w:trPr>
          <w:trHeight w:val="932"/>
        </w:trPr>
        <w:tc>
          <w:tcPr>
            <w:tcW w:w="423" w:type="dxa"/>
            <w:tcMar>
              <w:top w:w="55" w:type="dxa"/>
              <w:left w:w="55" w:type="dxa"/>
              <w:bottom w:w="55" w:type="dxa"/>
              <w:right w:w="55" w:type="dxa"/>
            </w:tcMar>
          </w:tcPr>
          <w:p w:rsidR="006E7CF4" w:rsidRPr="00E20506" w:rsidRDefault="006E7CF4" w:rsidP="00BD637A">
            <w:pPr>
              <w:jc w:val="center"/>
              <w:rPr>
                <w:bCs/>
                <w:sz w:val="20"/>
                <w:szCs w:val="20"/>
                <w:shd w:val="clear" w:color="auto" w:fill="FFFFFF"/>
              </w:rPr>
            </w:pPr>
            <w:r>
              <w:rPr>
                <w:bCs/>
                <w:sz w:val="20"/>
                <w:szCs w:val="20"/>
                <w:shd w:val="clear" w:color="auto" w:fill="FFFFFF"/>
              </w:rPr>
              <w:t>2</w:t>
            </w:r>
            <w:r w:rsidRPr="00E20506">
              <w:rPr>
                <w:bCs/>
                <w:sz w:val="20"/>
                <w:szCs w:val="20"/>
                <w:shd w:val="clear" w:color="auto" w:fill="FFFFFF"/>
              </w:rPr>
              <w:t>.</w:t>
            </w:r>
          </w:p>
        </w:tc>
        <w:tc>
          <w:tcPr>
            <w:tcW w:w="1144" w:type="dxa"/>
            <w:vMerge/>
          </w:tcPr>
          <w:p w:rsidR="006E7CF4" w:rsidRPr="00E20506" w:rsidRDefault="006E7CF4" w:rsidP="00BD637A">
            <w:pPr>
              <w:jc w:val="center"/>
              <w:rPr>
                <w:bCs/>
                <w:sz w:val="20"/>
                <w:szCs w:val="20"/>
                <w:shd w:val="clear" w:color="auto" w:fill="FFFFFF"/>
              </w:rPr>
            </w:pPr>
          </w:p>
        </w:tc>
        <w:tc>
          <w:tcPr>
            <w:tcW w:w="1559" w:type="dxa"/>
            <w:tcBorders>
              <w:right w:val="single" w:sz="4" w:space="0" w:color="auto"/>
            </w:tcBorders>
            <w:tcMar>
              <w:top w:w="55" w:type="dxa"/>
              <w:left w:w="55" w:type="dxa"/>
              <w:bottom w:w="55" w:type="dxa"/>
              <w:right w:w="55" w:type="dxa"/>
            </w:tcMar>
          </w:tcPr>
          <w:p w:rsidR="006E7CF4" w:rsidRPr="002864AA" w:rsidRDefault="006E7CF4" w:rsidP="00BD637A">
            <w:pPr>
              <w:jc w:val="center"/>
              <w:rPr>
                <w:bCs/>
                <w:sz w:val="20"/>
                <w:szCs w:val="20"/>
                <w:shd w:val="clear" w:color="auto" w:fill="FFFFFF"/>
              </w:rPr>
            </w:pPr>
            <w:r w:rsidRPr="002864AA">
              <w:rPr>
                <w:bCs/>
                <w:sz w:val="20"/>
                <w:szCs w:val="20"/>
                <w:shd w:val="clear" w:color="auto" w:fill="FFFFFF"/>
              </w:rPr>
              <w:t>Выполнение работ для обеспечения инвалидов и отдельных категорий граждан из числа ветеранов аппаратами на голеностопный сустав</w:t>
            </w:r>
          </w:p>
        </w:tc>
        <w:tc>
          <w:tcPr>
            <w:tcW w:w="6521" w:type="dxa"/>
            <w:tcBorders>
              <w:left w:val="single" w:sz="4" w:space="0" w:color="auto"/>
            </w:tcBorders>
          </w:tcPr>
          <w:p w:rsidR="006E7CF4" w:rsidRPr="002864AA" w:rsidRDefault="006E7CF4" w:rsidP="00BD637A">
            <w:pPr>
              <w:suppressAutoHyphens w:val="0"/>
              <w:ind w:left="57" w:right="57"/>
              <w:jc w:val="both"/>
              <w:textAlignment w:val="auto"/>
              <w:rPr>
                <w:sz w:val="20"/>
                <w:szCs w:val="20"/>
                <w:shd w:val="clear" w:color="auto" w:fill="FFFFFF"/>
              </w:rPr>
            </w:pPr>
            <w:r w:rsidRPr="002864AA">
              <w:rPr>
                <w:sz w:val="20"/>
                <w:szCs w:val="20"/>
                <w:shd w:val="clear" w:color="auto" w:fill="FFFFFF"/>
              </w:rPr>
              <w:t>1. Наименование технического средства реабилитации в соответствии с Приказом Министерства труда и социальной защиты Российской Фе</w:t>
            </w:r>
            <w:r>
              <w:rPr>
                <w:sz w:val="20"/>
                <w:szCs w:val="20"/>
                <w:shd w:val="clear" w:color="auto" w:fill="FFFFFF"/>
              </w:rPr>
              <w:t xml:space="preserve">дерации от 13.02.2018 г. N 86н: </w:t>
            </w:r>
            <w:r w:rsidRPr="002864AA">
              <w:rPr>
                <w:sz w:val="20"/>
                <w:szCs w:val="20"/>
                <w:shd w:val="clear" w:color="auto" w:fill="FFFFFF"/>
              </w:rPr>
              <w:t>8-09-37 Аппарат на голеностопный сустав</w:t>
            </w:r>
            <w:r>
              <w:rPr>
                <w:sz w:val="20"/>
                <w:szCs w:val="20"/>
                <w:shd w:val="clear" w:color="auto" w:fill="FFFFFF"/>
              </w:rPr>
              <w:t>.</w:t>
            </w:r>
            <w:r w:rsidRPr="002864AA">
              <w:rPr>
                <w:sz w:val="20"/>
                <w:szCs w:val="20"/>
                <w:shd w:val="clear" w:color="auto" w:fill="FFFFFF"/>
              </w:rPr>
              <w:t xml:space="preserve"> </w:t>
            </w:r>
          </w:p>
          <w:p w:rsidR="006E7CF4" w:rsidRPr="002864AA" w:rsidRDefault="006E7CF4" w:rsidP="00BD637A">
            <w:pPr>
              <w:jc w:val="both"/>
              <w:rPr>
                <w:sz w:val="20"/>
                <w:szCs w:val="20"/>
                <w:shd w:val="clear" w:color="auto" w:fill="FFFFFF"/>
              </w:rPr>
            </w:pPr>
            <w:r w:rsidRPr="002864AA">
              <w:rPr>
                <w:sz w:val="20"/>
                <w:szCs w:val="20"/>
                <w:shd w:val="clear" w:color="auto" w:fill="FFFFFF"/>
              </w:rPr>
              <w:t>2. Описание: Аппарат на голеностопный сустав разгружающий из полиэтилена, смягчение пластазотом, изготовление по гипсовым слепкам.</w:t>
            </w:r>
          </w:p>
        </w:tc>
        <w:tc>
          <w:tcPr>
            <w:tcW w:w="4677" w:type="dxa"/>
            <w:vMerge/>
            <w:tcBorders>
              <w:left w:val="single" w:sz="2" w:space="0" w:color="000000"/>
              <w:right w:val="single" w:sz="2" w:space="0" w:color="000000"/>
            </w:tcBorders>
          </w:tcPr>
          <w:p w:rsidR="006E7CF4" w:rsidRPr="00E20506" w:rsidRDefault="006E7CF4" w:rsidP="00BD637A">
            <w:pPr>
              <w:jc w:val="center"/>
              <w:rPr>
                <w:shd w:val="clear" w:color="auto" w:fill="FFFFFF"/>
              </w:rPr>
            </w:pPr>
          </w:p>
        </w:tc>
        <w:tc>
          <w:tcPr>
            <w:tcW w:w="754" w:type="dxa"/>
            <w:tcBorders>
              <w:top w:val="single" w:sz="2" w:space="0" w:color="000000"/>
              <w:left w:val="single" w:sz="2" w:space="0" w:color="000000"/>
              <w:bottom w:val="single" w:sz="2" w:space="0" w:color="000000"/>
            </w:tcBorders>
          </w:tcPr>
          <w:p w:rsidR="006E7CF4" w:rsidRPr="009A133E" w:rsidRDefault="006E7CF4" w:rsidP="00BD637A">
            <w:pPr>
              <w:jc w:val="center"/>
              <w:rPr>
                <w:sz w:val="20"/>
                <w:szCs w:val="20"/>
                <w:shd w:val="clear" w:color="auto" w:fill="FFFFFF"/>
              </w:rPr>
            </w:pPr>
            <w:r w:rsidRPr="009A133E">
              <w:rPr>
                <w:sz w:val="20"/>
                <w:szCs w:val="20"/>
                <w:shd w:val="clear" w:color="auto" w:fill="FFFFFF"/>
              </w:rPr>
              <w:t>10</w:t>
            </w:r>
          </w:p>
        </w:tc>
      </w:tr>
      <w:tr w:rsidR="006E7CF4" w:rsidRPr="00E20506" w:rsidTr="00BD637A">
        <w:trPr>
          <w:trHeight w:val="932"/>
        </w:trPr>
        <w:tc>
          <w:tcPr>
            <w:tcW w:w="423" w:type="dxa"/>
            <w:tcMar>
              <w:top w:w="55" w:type="dxa"/>
              <w:left w:w="55" w:type="dxa"/>
              <w:bottom w:w="55" w:type="dxa"/>
              <w:right w:w="55" w:type="dxa"/>
            </w:tcMar>
          </w:tcPr>
          <w:p w:rsidR="006E7CF4" w:rsidRDefault="006E7CF4" w:rsidP="00BD637A">
            <w:pPr>
              <w:jc w:val="center"/>
              <w:rPr>
                <w:bCs/>
                <w:sz w:val="20"/>
                <w:szCs w:val="20"/>
                <w:shd w:val="clear" w:color="auto" w:fill="FFFFFF"/>
              </w:rPr>
            </w:pPr>
            <w:r>
              <w:rPr>
                <w:bCs/>
                <w:sz w:val="20"/>
                <w:szCs w:val="20"/>
                <w:shd w:val="clear" w:color="auto" w:fill="FFFFFF"/>
              </w:rPr>
              <w:lastRenderedPageBreak/>
              <w:t>3.</w:t>
            </w:r>
          </w:p>
        </w:tc>
        <w:tc>
          <w:tcPr>
            <w:tcW w:w="1144" w:type="dxa"/>
            <w:vMerge/>
          </w:tcPr>
          <w:p w:rsidR="006E7CF4" w:rsidRPr="00E20506" w:rsidRDefault="006E7CF4" w:rsidP="00BD637A">
            <w:pPr>
              <w:jc w:val="center"/>
              <w:rPr>
                <w:bCs/>
                <w:sz w:val="20"/>
                <w:szCs w:val="20"/>
                <w:shd w:val="clear" w:color="auto" w:fill="FFFFFF"/>
              </w:rPr>
            </w:pPr>
          </w:p>
        </w:tc>
        <w:tc>
          <w:tcPr>
            <w:tcW w:w="1559" w:type="dxa"/>
            <w:tcBorders>
              <w:right w:val="single" w:sz="4" w:space="0" w:color="auto"/>
            </w:tcBorders>
            <w:tcMar>
              <w:top w:w="55" w:type="dxa"/>
              <w:left w:w="55" w:type="dxa"/>
              <w:bottom w:w="55" w:type="dxa"/>
              <w:right w:w="55" w:type="dxa"/>
            </w:tcMar>
            <w:vAlign w:val="center"/>
          </w:tcPr>
          <w:p w:rsidR="006E7CF4" w:rsidRPr="00057EDE" w:rsidRDefault="006E7CF4" w:rsidP="00BD637A">
            <w:pPr>
              <w:jc w:val="center"/>
              <w:rPr>
                <w:bCs/>
                <w:sz w:val="20"/>
                <w:szCs w:val="20"/>
                <w:shd w:val="clear" w:color="auto" w:fill="FFFFFF"/>
              </w:rPr>
            </w:pPr>
            <w:r w:rsidRPr="00057EDE">
              <w:rPr>
                <w:bCs/>
                <w:sz w:val="20"/>
                <w:szCs w:val="20"/>
                <w:shd w:val="clear" w:color="auto" w:fill="FFFFFF"/>
              </w:rPr>
              <w:t>Выполнение работ для обеспечения инвалидов и отдельных категорий граждан из числа ветеранов аппаратами на коленный сустав</w:t>
            </w:r>
          </w:p>
        </w:tc>
        <w:tc>
          <w:tcPr>
            <w:tcW w:w="6521" w:type="dxa"/>
            <w:tcBorders>
              <w:left w:val="single" w:sz="4" w:space="0" w:color="auto"/>
            </w:tcBorders>
          </w:tcPr>
          <w:p w:rsidR="006E7CF4" w:rsidRPr="00057EDE" w:rsidRDefault="006E7CF4" w:rsidP="00BD637A">
            <w:pPr>
              <w:suppressAutoHyphens w:val="0"/>
              <w:ind w:left="57" w:right="57"/>
              <w:jc w:val="both"/>
              <w:textAlignment w:val="auto"/>
              <w:rPr>
                <w:sz w:val="20"/>
                <w:szCs w:val="20"/>
                <w:shd w:val="clear" w:color="auto" w:fill="FFFFFF"/>
              </w:rPr>
            </w:pPr>
            <w:r w:rsidRPr="00057EDE">
              <w:rPr>
                <w:sz w:val="20"/>
                <w:szCs w:val="20"/>
                <w:shd w:val="clear" w:color="auto" w:fill="FFFFFF"/>
              </w:rPr>
              <w:t>1. Наименование технического средства реабилитации в соответствии с Приказом Министерства труда и социальной защиты Российской Фе</w:t>
            </w:r>
            <w:r>
              <w:rPr>
                <w:sz w:val="20"/>
                <w:szCs w:val="20"/>
                <w:shd w:val="clear" w:color="auto" w:fill="FFFFFF"/>
              </w:rPr>
              <w:t xml:space="preserve">дерации от 13.02.2018 г. N 86н: </w:t>
            </w:r>
            <w:r w:rsidRPr="00057EDE">
              <w:rPr>
                <w:sz w:val="20"/>
                <w:szCs w:val="20"/>
                <w:shd w:val="clear" w:color="auto" w:fill="FFFFFF"/>
              </w:rPr>
              <w:t>8-09-39 Аппарат на коленный сустав</w:t>
            </w:r>
            <w:r>
              <w:rPr>
                <w:sz w:val="20"/>
                <w:szCs w:val="20"/>
                <w:shd w:val="clear" w:color="auto" w:fill="FFFFFF"/>
              </w:rPr>
              <w:t>.</w:t>
            </w:r>
          </w:p>
          <w:p w:rsidR="006E7CF4" w:rsidRPr="00057EDE" w:rsidRDefault="006E7CF4" w:rsidP="00BD637A">
            <w:pPr>
              <w:suppressAutoHyphens w:val="0"/>
              <w:ind w:left="57" w:right="57"/>
              <w:jc w:val="both"/>
              <w:textAlignment w:val="auto"/>
              <w:rPr>
                <w:sz w:val="20"/>
                <w:szCs w:val="20"/>
                <w:shd w:val="clear" w:color="auto" w:fill="FFFFFF"/>
              </w:rPr>
            </w:pPr>
            <w:r w:rsidRPr="00057EDE">
              <w:rPr>
                <w:sz w:val="20"/>
                <w:szCs w:val="20"/>
                <w:shd w:val="clear" w:color="auto" w:fill="FFFFFF"/>
              </w:rPr>
              <w:t>2. Описание: Аппарат на коленный сустав фиксирующий из термопласта, изготовление по слепкам.</w:t>
            </w:r>
          </w:p>
        </w:tc>
        <w:tc>
          <w:tcPr>
            <w:tcW w:w="4677" w:type="dxa"/>
            <w:vMerge/>
            <w:tcBorders>
              <w:left w:val="single" w:sz="2" w:space="0" w:color="000000"/>
              <w:right w:val="single" w:sz="2" w:space="0" w:color="000000"/>
            </w:tcBorders>
          </w:tcPr>
          <w:p w:rsidR="006E7CF4" w:rsidRPr="00E20506" w:rsidRDefault="006E7CF4" w:rsidP="00BD637A">
            <w:pPr>
              <w:jc w:val="center"/>
              <w:rPr>
                <w:shd w:val="clear" w:color="auto" w:fill="FFFFFF"/>
              </w:rPr>
            </w:pPr>
          </w:p>
        </w:tc>
        <w:tc>
          <w:tcPr>
            <w:tcW w:w="754" w:type="dxa"/>
            <w:tcBorders>
              <w:top w:val="single" w:sz="2" w:space="0" w:color="000000"/>
              <w:left w:val="single" w:sz="2" w:space="0" w:color="000000"/>
              <w:bottom w:val="single" w:sz="2" w:space="0" w:color="000000"/>
            </w:tcBorders>
          </w:tcPr>
          <w:p w:rsidR="006E7CF4" w:rsidRPr="009A133E" w:rsidRDefault="006E7CF4" w:rsidP="00BD637A">
            <w:pPr>
              <w:jc w:val="center"/>
              <w:rPr>
                <w:sz w:val="20"/>
                <w:szCs w:val="20"/>
                <w:shd w:val="clear" w:color="auto" w:fill="FFFFFF"/>
              </w:rPr>
            </w:pPr>
            <w:r w:rsidRPr="009A133E">
              <w:rPr>
                <w:sz w:val="20"/>
                <w:szCs w:val="20"/>
                <w:shd w:val="clear" w:color="auto" w:fill="FFFFFF"/>
              </w:rPr>
              <w:t>8</w:t>
            </w:r>
          </w:p>
        </w:tc>
      </w:tr>
      <w:tr w:rsidR="006E7CF4" w:rsidRPr="00E20506" w:rsidTr="00BD637A">
        <w:trPr>
          <w:trHeight w:val="932"/>
        </w:trPr>
        <w:tc>
          <w:tcPr>
            <w:tcW w:w="423" w:type="dxa"/>
            <w:tcMar>
              <w:top w:w="55" w:type="dxa"/>
              <w:left w:w="55" w:type="dxa"/>
              <w:bottom w:w="55" w:type="dxa"/>
              <w:right w:w="55" w:type="dxa"/>
            </w:tcMar>
          </w:tcPr>
          <w:p w:rsidR="006E7CF4" w:rsidRDefault="006E7CF4" w:rsidP="00BD637A">
            <w:pPr>
              <w:jc w:val="center"/>
              <w:rPr>
                <w:bCs/>
                <w:sz w:val="20"/>
                <w:szCs w:val="20"/>
                <w:shd w:val="clear" w:color="auto" w:fill="FFFFFF"/>
              </w:rPr>
            </w:pPr>
            <w:r>
              <w:rPr>
                <w:bCs/>
                <w:sz w:val="20"/>
                <w:szCs w:val="20"/>
                <w:shd w:val="clear" w:color="auto" w:fill="FFFFFF"/>
              </w:rPr>
              <w:t>4.</w:t>
            </w:r>
          </w:p>
        </w:tc>
        <w:tc>
          <w:tcPr>
            <w:tcW w:w="1144" w:type="dxa"/>
            <w:vMerge/>
          </w:tcPr>
          <w:p w:rsidR="006E7CF4" w:rsidRPr="00E20506" w:rsidRDefault="006E7CF4" w:rsidP="00BD637A">
            <w:pPr>
              <w:jc w:val="center"/>
              <w:rPr>
                <w:bCs/>
                <w:sz w:val="20"/>
                <w:szCs w:val="20"/>
                <w:shd w:val="clear" w:color="auto" w:fill="FFFFFF"/>
              </w:rPr>
            </w:pPr>
          </w:p>
        </w:tc>
        <w:tc>
          <w:tcPr>
            <w:tcW w:w="1559" w:type="dxa"/>
            <w:tcBorders>
              <w:right w:val="single" w:sz="4" w:space="0" w:color="auto"/>
            </w:tcBorders>
            <w:tcMar>
              <w:top w:w="55" w:type="dxa"/>
              <w:left w:w="55" w:type="dxa"/>
              <w:bottom w:w="55" w:type="dxa"/>
              <w:right w:w="55" w:type="dxa"/>
            </w:tcMar>
          </w:tcPr>
          <w:p w:rsidR="006E7CF4" w:rsidRPr="00057EDE" w:rsidRDefault="006E7CF4" w:rsidP="00BD637A">
            <w:pPr>
              <w:jc w:val="center"/>
              <w:rPr>
                <w:bCs/>
                <w:sz w:val="20"/>
                <w:szCs w:val="20"/>
                <w:shd w:val="clear" w:color="auto" w:fill="FFFFFF"/>
              </w:rPr>
            </w:pPr>
            <w:r w:rsidRPr="00057EDE">
              <w:rPr>
                <w:bCs/>
                <w:sz w:val="20"/>
                <w:szCs w:val="20"/>
                <w:shd w:val="clear" w:color="auto" w:fill="FFFFFF"/>
              </w:rPr>
              <w:t>Выполнение работ для обеспечения инвалидов и отдельных категорий граждан из числа ветеранов аппаратами на всю ногу</w:t>
            </w:r>
          </w:p>
        </w:tc>
        <w:tc>
          <w:tcPr>
            <w:tcW w:w="6521" w:type="dxa"/>
            <w:tcBorders>
              <w:left w:val="single" w:sz="4" w:space="0" w:color="auto"/>
            </w:tcBorders>
          </w:tcPr>
          <w:p w:rsidR="006E7CF4" w:rsidRPr="00057EDE" w:rsidRDefault="006E7CF4" w:rsidP="00BD637A">
            <w:pPr>
              <w:suppressAutoHyphens w:val="0"/>
              <w:jc w:val="both"/>
              <w:textAlignment w:val="auto"/>
              <w:rPr>
                <w:sz w:val="20"/>
                <w:szCs w:val="20"/>
                <w:shd w:val="clear" w:color="auto" w:fill="FFFFFF"/>
              </w:rPr>
            </w:pPr>
          </w:p>
          <w:p w:rsidR="006E7CF4" w:rsidRPr="00057EDE" w:rsidRDefault="006E7CF4" w:rsidP="00BD637A">
            <w:pPr>
              <w:suppressAutoHyphens w:val="0"/>
              <w:jc w:val="both"/>
              <w:textAlignment w:val="auto"/>
              <w:rPr>
                <w:sz w:val="20"/>
                <w:szCs w:val="20"/>
                <w:shd w:val="clear" w:color="auto" w:fill="FFFFFF"/>
              </w:rPr>
            </w:pPr>
            <w:r w:rsidRPr="00057EDE">
              <w:rPr>
                <w:sz w:val="20"/>
                <w:szCs w:val="20"/>
                <w:shd w:val="clear" w:color="auto" w:fill="FFFFFF"/>
              </w:rPr>
              <w:t>1. Наименование технического средства реабилитации в соответствии с Приказом Министерства труда и социальной защиты Российской Федерации от 13.02.</w:t>
            </w:r>
            <w:r>
              <w:rPr>
                <w:sz w:val="20"/>
                <w:szCs w:val="20"/>
                <w:shd w:val="clear" w:color="auto" w:fill="FFFFFF"/>
              </w:rPr>
              <w:t xml:space="preserve">2018 г. N 86н: </w:t>
            </w:r>
            <w:r w:rsidRPr="00057EDE">
              <w:rPr>
                <w:sz w:val="20"/>
                <w:szCs w:val="20"/>
                <w:shd w:val="clear" w:color="auto" w:fill="FFFFFF"/>
              </w:rPr>
              <w:t>8-09-42 - Аппарат на всю ногу</w:t>
            </w:r>
            <w:r>
              <w:rPr>
                <w:sz w:val="20"/>
                <w:szCs w:val="20"/>
                <w:shd w:val="clear" w:color="auto" w:fill="FFFFFF"/>
              </w:rPr>
              <w:t>.</w:t>
            </w:r>
          </w:p>
          <w:p w:rsidR="006E7CF4" w:rsidRPr="00057EDE" w:rsidRDefault="006E7CF4" w:rsidP="00BD637A">
            <w:pPr>
              <w:suppressAutoHyphens w:val="0"/>
              <w:ind w:left="57" w:right="57"/>
              <w:jc w:val="both"/>
              <w:textAlignment w:val="auto"/>
              <w:rPr>
                <w:sz w:val="20"/>
                <w:szCs w:val="20"/>
                <w:shd w:val="clear" w:color="auto" w:fill="FFFFFF"/>
              </w:rPr>
            </w:pPr>
            <w:r w:rsidRPr="00057EDE">
              <w:rPr>
                <w:sz w:val="20"/>
                <w:szCs w:val="20"/>
                <w:shd w:val="clear" w:color="auto" w:fill="FFFFFF"/>
              </w:rPr>
              <w:t>2. Описание: Аппарат на всю ногу ортопедический модульный предназначен для ортезирования больных с нарушением функций опорно-двигательного аппарата различной тяжести, страдающими вялыми и спастическими параличами различного уровня поражения, парезами мышц нижних конечностей. Аппарат изготовлен по гипсовым слепкам пациента, состоит из гильз на бедро и голень с захватом стопы или с башмачком и голеностопным шарниром, тазобедренных и коленных замковых шарниров (модулей) и элементов крепления. Аппарат изготовлен с двусторонним расположением замковых шарниров по внешней стороне нижней конечности. Края гильз из пластика и композитных материалов отполированы. Предусмотрено смягчение пластазотом. Замки в шарнирных соединениях будут обеспечивать надежное запирание в коленных шарнирах в разогнутом положении. Крепление аппарата на туловище и нижних конечностях осуществляется посредством манжет из ленты отделочной с застежкой текстильной велькро. Аппарат изготовлен из листового термопласта. Конструкция аппарата обеспечивает подкосоустойчивость в коленных шарнирах при ходьбе. Гильза аппарата, соприкасающаяся с кожей пользователя, устойчива к санитарно-гигиенической обработке растворами нейтральных моющих средств.</w:t>
            </w:r>
          </w:p>
        </w:tc>
        <w:tc>
          <w:tcPr>
            <w:tcW w:w="4677" w:type="dxa"/>
            <w:vMerge/>
            <w:tcBorders>
              <w:left w:val="single" w:sz="2" w:space="0" w:color="000000"/>
              <w:right w:val="single" w:sz="2" w:space="0" w:color="000000"/>
            </w:tcBorders>
          </w:tcPr>
          <w:p w:rsidR="006E7CF4" w:rsidRPr="00E20506" w:rsidRDefault="006E7CF4" w:rsidP="00BD637A">
            <w:pPr>
              <w:jc w:val="center"/>
              <w:rPr>
                <w:shd w:val="clear" w:color="auto" w:fill="FFFFFF"/>
              </w:rPr>
            </w:pPr>
          </w:p>
        </w:tc>
        <w:tc>
          <w:tcPr>
            <w:tcW w:w="754" w:type="dxa"/>
            <w:tcBorders>
              <w:top w:val="single" w:sz="2" w:space="0" w:color="000000"/>
              <w:left w:val="single" w:sz="2" w:space="0" w:color="000000"/>
              <w:bottom w:val="single" w:sz="2" w:space="0" w:color="000000"/>
            </w:tcBorders>
          </w:tcPr>
          <w:p w:rsidR="006E7CF4" w:rsidRPr="009A133E" w:rsidRDefault="006E7CF4" w:rsidP="00BD637A">
            <w:pPr>
              <w:jc w:val="center"/>
              <w:rPr>
                <w:sz w:val="20"/>
                <w:szCs w:val="20"/>
                <w:shd w:val="clear" w:color="auto" w:fill="FFFFFF"/>
              </w:rPr>
            </w:pPr>
            <w:r w:rsidRPr="009A133E">
              <w:rPr>
                <w:sz w:val="20"/>
                <w:szCs w:val="20"/>
                <w:shd w:val="clear" w:color="auto" w:fill="FFFFFF"/>
              </w:rPr>
              <w:t>15</w:t>
            </w:r>
          </w:p>
        </w:tc>
      </w:tr>
      <w:tr w:rsidR="006E7CF4" w:rsidRPr="00E20506" w:rsidTr="00BD637A">
        <w:trPr>
          <w:trHeight w:val="932"/>
        </w:trPr>
        <w:tc>
          <w:tcPr>
            <w:tcW w:w="423" w:type="dxa"/>
            <w:tcMar>
              <w:top w:w="55" w:type="dxa"/>
              <w:left w:w="55" w:type="dxa"/>
              <w:bottom w:w="55" w:type="dxa"/>
              <w:right w:w="55" w:type="dxa"/>
            </w:tcMar>
          </w:tcPr>
          <w:p w:rsidR="006E7CF4" w:rsidRDefault="006E7CF4" w:rsidP="00BD637A">
            <w:pPr>
              <w:jc w:val="center"/>
              <w:rPr>
                <w:bCs/>
                <w:sz w:val="20"/>
                <w:szCs w:val="20"/>
                <w:shd w:val="clear" w:color="auto" w:fill="FFFFFF"/>
              </w:rPr>
            </w:pPr>
            <w:r>
              <w:rPr>
                <w:bCs/>
                <w:sz w:val="20"/>
                <w:szCs w:val="20"/>
                <w:shd w:val="clear" w:color="auto" w:fill="FFFFFF"/>
              </w:rPr>
              <w:t>5.</w:t>
            </w:r>
          </w:p>
        </w:tc>
        <w:tc>
          <w:tcPr>
            <w:tcW w:w="1144" w:type="dxa"/>
            <w:vMerge/>
          </w:tcPr>
          <w:p w:rsidR="006E7CF4" w:rsidRPr="00E20506" w:rsidRDefault="006E7CF4" w:rsidP="00BD637A">
            <w:pPr>
              <w:jc w:val="center"/>
              <w:rPr>
                <w:bCs/>
                <w:sz w:val="20"/>
                <w:szCs w:val="20"/>
                <w:shd w:val="clear" w:color="auto" w:fill="FFFFFF"/>
              </w:rPr>
            </w:pPr>
          </w:p>
        </w:tc>
        <w:tc>
          <w:tcPr>
            <w:tcW w:w="1559" w:type="dxa"/>
            <w:tcBorders>
              <w:right w:val="single" w:sz="4" w:space="0" w:color="auto"/>
            </w:tcBorders>
            <w:tcMar>
              <w:top w:w="55" w:type="dxa"/>
              <w:left w:w="55" w:type="dxa"/>
              <w:bottom w:w="55" w:type="dxa"/>
              <w:right w:w="55" w:type="dxa"/>
            </w:tcMar>
          </w:tcPr>
          <w:p w:rsidR="006E7CF4" w:rsidRPr="00FA0664" w:rsidRDefault="006E7CF4" w:rsidP="00BD637A">
            <w:pPr>
              <w:jc w:val="center"/>
              <w:rPr>
                <w:bCs/>
                <w:sz w:val="20"/>
                <w:szCs w:val="20"/>
                <w:shd w:val="clear" w:color="auto" w:fill="FFFFFF"/>
              </w:rPr>
            </w:pPr>
            <w:r w:rsidRPr="00FA0664">
              <w:rPr>
                <w:bCs/>
                <w:sz w:val="20"/>
                <w:szCs w:val="20"/>
                <w:shd w:val="clear" w:color="auto" w:fill="FFFFFF"/>
              </w:rPr>
              <w:t>Выполнение работ для обеспечения инвалидов и отдельных категорий граждан из числа ветеранов аппаратами на нижние конечности и туловище (ортез)</w:t>
            </w:r>
          </w:p>
        </w:tc>
        <w:tc>
          <w:tcPr>
            <w:tcW w:w="6521" w:type="dxa"/>
            <w:tcBorders>
              <w:left w:val="single" w:sz="4" w:space="0" w:color="auto"/>
            </w:tcBorders>
          </w:tcPr>
          <w:p w:rsidR="006E7CF4" w:rsidRPr="00FA0664" w:rsidRDefault="006E7CF4" w:rsidP="00BD637A">
            <w:pPr>
              <w:suppressAutoHyphens w:val="0"/>
              <w:jc w:val="both"/>
              <w:textAlignment w:val="auto"/>
              <w:rPr>
                <w:sz w:val="20"/>
                <w:szCs w:val="20"/>
                <w:shd w:val="clear" w:color="auto" w:fill="FFFFFF"/>
              </w:rPr>
            </w:pPr>
            <w:r w:rsidRPr="00FA0664">
              <w:rPr>
                <w:sz w:val="20"/>
                <w:szCs w:val="20"/>
                <w:shd w:val="clear" w:color="auto" w:fill="FFFFFF"/>
              </w:rPr>
              <w:t>1. Наименование технического средства реабилитации в соответствии с Приказом Министерства труда и социальной защиты Российской Федераци</w:t>
            </w:r>
            <w:r>
              <w:rPr>
                <w:sz w:val="20"/>
                <w:szCs w:val="20"/>
                <w:shd w:val="clear" w:color="auto" w:fill="FFFFFF"/>
              </w:rPr>
              <w:t xml:space="preserve">и от 13.02.2018 г. N 86н: </w:t>
            </w:r>
            <w:r w:rsidRPr="00FA0664">
              <w:rPr>
                <w:sz w:val="20"/>
                <w:szCs w:val="20"/>
                <w:shd w:val="clear" w:color="auto" w:fill="FFFFFF"/>
              </w:rPr>
              <w:t>8-09-43 Аппарат на нижние конечности и туловище (ортез)</w:t>
            </w:r>
          </w:p>
          <w:p w:rsidR="006E7CF4" w:rsidRPr="00FA0664" w:rsidRDefault="006E7CF4" w:rsidP="00BD637A">
            <w:pPr>
              <w:suppressAutoHyphens w:val="0"/>
              <w:jc w:val="both"/>
              <w:textAlignment w:val="auto"/>
              <w:rPr>
                <w:sz w:val="20"/>
                <w:szCs w:val="20"/>
                <w:shd w:val="clear" w:color="auto" w:fill="FFFFFF"/>
              </w:rPr>
            </w:pPr>
            <w:r w:rsidRPr="00FA0664">
              <w:rPr>
                <w:sz w:val="20"/>
                <w:szCs w:val="20"/>
                <w:shd w:val="clear" w:color="auto" w:fill="FFFFFF"/>
              </w:rPr>
              <w:t>2. Описание: состоит из аппаратов на обе нижние конечности, которые фиксируют всю ногу полностью, жестко соединенных металлическими тазобедренными шарнирами с функционально-корригирующим корсетом. Изготавливается по индивидуальному техническому процессу. Состоят из башмачка, гильз голени и бедра, гильзы на туловище. Башмачок и гильза голени соединены шарнирно между собой. Гильза бедра кренится к шинам, которые шарнирно соединены с шинами голени. В области коленного шарнира к шинам бедра прикреплен замок-дужка, который имеет тянку. Нижний конец тянки изготовлен из эластичной тесьмы и закреплен в нижней части гильзы голени. Под действием тесьмы замок всегда находится в закрытом положении. Для открытия замка верхняя половина тянки закреплена на верхней части гильзы бедра. Натяжением тянки вверх дужка замка поднимается и открывает замок. Фиксация тазового пояса обеспечивается гильзой функционально-корригирующего корсета, соединенной металлическим вертлугом с гильзой бедра, что обеспечивает надежную фиксацию в вертикальном положении. Металлический вертлуг не препятствует сгибанию и разгибанию, а ограничивает боковые движения таза. Функционально-корригирующий корсет многозонального воздействия с несущей гильзой по слепку из термопласта методом глубокой вакуумной вытяжки по индивидуальному техпроцессу и представляет собой пластиковую гильзу сложной ассиметричной формы с двумя креплениями по передней поверхности. Крепления выполняются в виде ленты «Велкро» и металлической шлевкой с кожаной основой. Пластиковая гильза корсета изготовлена из полиэтилена низкого давления толщиной 4-5 мм (в зависимости от веса пациента и ригидности деформации) путем вакуумного формирования по позитиву. Форма гильзы определяется в соответствии с вариантом деформации, особ-ми туловища пациента в местах давления и полостей разгрузки. Крепления соединяются с корсетом пустотелыми заклепками.</w:t>
            </w:r>
          </w:p>
        </w:tc>
        <w:tc>
          <w:tcPr>
            <w:tcW w:w="4677" w:type="dxa"/>
            <w:vMerge/>
            <w:tcBorders>
              <w:left w:val="single" w:sz="2" w:space="0" w:color="000000"/>
              <w:right w:val="single" w:sz="2" w:space="0" w:color="000000"/>
            </w:tcBorders>
          </w:tcPr>
          <w:p w:rsidR="006E7CF4" w:rsidRPr="00E20506" w:rsidRDefault="006E7CF4" w:rsidP="00BD637A">
            <w:pPr>
              <w:jc w:val="center"/>
              <w:rPr>
                <w:shd w:val="clear" w:color="auto" w:fill="FFFFFF"/>
              </w:rPr>
            </w:pPr>
          </w:p>
        </w:tc>
        <w:tc>
          <w:tcPr>
            <w:tcW w:w="754" w:type="dxa"/>
            <w:tcBorders>
              <w:top w:val="single" w:sz="2" w:space="0" w:color="000000"/>
              <w:left w:val="single" w:sz="2" w:space="0" w:color="000000"/>
              <w:bottom w:val="single" w:sz="2" w:space="0" w:color="000000"/>
            </w:tcBorders>
          </w:tcPr>
          <w:p w:rsidR="006E7CF4" w:rsidRPr="009A133E" w:rsidRDefault="006E7CF4" w:rsidP="00BD637A">
            <w:pPr>
              <w:jc w:val="center"/>
              <w:rPr>
                <w:sz w:val="20"/>
                <w:szCs w:val="20"/>
                <w:shd w:val="clear" w:color="auto" w:fill="FFFFFF"/>
              </w:rPr>
            </w:pPr>
            <w:r w:rsidRPr="009A133E">
              <w:rPr>
                <w:sz w:val="20"/>
                <w:szCs w:val="20"/>
                <w:shd w:val="clear" w:color="auto" w:fill="FFFFFF"/>
              </w:rPr>
              <w:t>10</w:t>
            </w:r>
          </w:p>
        </w:tc>
      </w:tr>
      <w:tr w:rsidR="006E7CF4" w:rsidRPr="00E20506" w:rsidTr="00BD637A">
        <w:trPr>
          <w:trHeight w:val="249"/>
        </w:trPr>
        <w:tc>
          <w:tcPr>
            <w:tcW w:w="14324" w:type="dxa"/>
            <w:gridSpan w:val="5"/>
            <w:tcBorders>
              <w:right w:val="single" w:sz="2" w:space="0" w:color="000000"/>
            </w:tcBorders>
          </w:tcPr>
          <w:p w:rsidR="006E7CF4" w:rsidRPr="00E20506" w:rsidRDefault="006E7CF4" w:rsidP="00BD637A">
            <w:pPr>
              <w:jc w:val="right"/>
              <w:rPr>
                <w:shd w:val="clear" w:color="auto" w:fill="FFFFFF"/>
              </w:rPr>
            </w:pPr>
            <w:r w:rsidRPr="00E20506">
              <w:rPr>
                <w:b/>
                <w:shd w:val="clear" w:color="auto" w:fill="FFFFFF"/>
              </w:rPr>
              <w:t>ИТОГО:</w:t>
            </w:r>
          </w:p>
        </w:tc>
        <w:tc>
          <w:tcPr>
            <w:tcW w:w="754" w:type="dxa"/>
            <w:tcBorders>
              <w:top w:val="single" w:sz="2" w:space="0" w:color="000000"/>
              <w:left w:val="single" w:sz="2" w:space="0" w:color="000000"/>
              <w:bottom w:val="single" w:sz="2" w:space="0" w:color="000000"/>
            </w:tcBorders>
          </w:tcPr>
          <w:p w:rsidR="006E7CF4" w:rsidRPr="009A133E" w:rsidRDefault="006E7CF4" w:rsidP="00BD637A">
            <w:pPr>
              <w:jc w:val="center"/>
              <w:rPr>
                <w:sz w:val="20"/>
                <w:szCs w:val="20"/>
                <w:shd w:val="clear" w:color="auto" w:fill="FFFFFF"/>
              </w:rPr>
            </w:pPr>
            <w:r w:rsidRPr="009A133E">
              <w:rPr>
                <w:sz w:val="20"/>
                <w:szCs w:val="20"/>
                <w:shd w:val="clear" w:color="auto" w:fill="FFFFFF"/>
              </w:rPr>
              <w:t>44</w:t>
            </w:r>
          </w:p>
        </w:tc>
      </w:tr>
    </w:tbl>
    <w:p w:rsidR="006E7CF4" w:rsidRPr="00F108E9" w:rsidRDefault="006E7CF4" w:rsidP="006E7CF4">
      <w:pPr>
        <w:rPr>
          <w:rFonts w:eastAsia="Andale Sans UI"/>
          <w:b/>
          <w:kern w:val="2"/>
          <w:lang w:eastAsia="fa-IR" w:bidi="fa-IR"/>
        </w:rPr>
        <w:sectPr w:rsidR="006E7CF4" w:rsidRPr="00F108E9" w:rsidSect="00A273BE">
          <w:headerReference w:type="default" r:id="rId6"/>
          <w:footerReference w:type="default" r:id="rId7"/>
          <w:pgSz w:w="16837" w:h="11905" w:orient="landscape"/>
          <w:pgMar w:top="851" w:right="851" w:bottom="851" w:left="1418" w:header="720" w:footer="720" w:gutter="0"/>
          <w:pgNumType w:start="3"/>
          <w:cols w:space="720"/>
          <w:docGrid w:linePitch="286"/>
        </w:sectPr>
      </w:pPr>
    </w:p>
    <w:p w:rsidR="0051747D" w:rsidRDefault="0051747D" w:rsidP="006E7CF4">
      <w:bookmarkStart w:id="0" w:name="_GoBack"/>
      <w:bookmarkEnd w:id="0"/>
    </w:p>
    <w:sectPr w:rsidR="0051747D" w:rsidSect="006E7CF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CF4" w:rsidRDefault="006E7CF4" w:rsidP="006E7CF4">
      <w:pPr>
        <w:spacing w:line="240" w:lineRule="auto"/>
      </w:pPr>
      <w:r>
        <w:separator/>
      </w:r>
    </w:p>
  </w:endnote>
  <w:endnote w:type="continuationSeparator" w:id="0">
    <w:p w:rsidR="006E7CF4" w:rsidRDefault="006E7CF4" w:rsidP="006E7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F4" w:rsidRPr="00E8243E" w:rsidRDefault="006E7CF4">
    <w:pPr>
      <w:pStyle w:val="a5"/>
      <w:jc w:val="center"/>
    </w:pPr>
  </w:p>
  <w:p w:rsidR="006E7CF4" w:rsidRDefault="006E7CF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CF4" w:rsidRDefault="006E7CF4" w:rsidP="006E7CF4">
      <w:pPr>
        <w:spacing w:line="240" w:lineRule="auto"/>
      </w:pPr>
      <w:r>
        <w:separator/>
      </w:r>
    </w:p>
  </w:footnote>
  <w:footnote w:type="continuationSeparator" w:id="0">
    <w:p w:rsidR="006E7CF4" w:rsidRDefault="006E7CF4" w:rsidP="006E7CF4">
      <w:pPr>
        <w:spacing w:line="240" w:lineRule="auto"/>
      </w:pPr>
      <w:r>
        <w:continuationSeparator/>
      </w:r>
    </w:p>
  </w:footnote>
  <w:footnote w:id="1">
    <w:p w:rsidR="006E7CF4" w:rsidRPr="009F33B4" w:rsidRDefault="006E7CF4" w:rsidP="006E7CF4">
      <w:pPr>
        <w:pStyle w:val="a7"/>
        <w:jc w:val="both"/>
        <w:rPr>
          <w:sz w:val="18"/>
        </w:rPr>
      </w:pPr>
      <w:r w:rsidRPr="00546017">
        <w:rPr>
          <w:rStyle w:val="a9"/>
          <w:sz w:val="18"/>
        </w:rPr>
        <w:footnoteRef/>
      </w:r>
      <w:r w:rsidRPr="00546017">
        <w:rPr>
          <w:sz w:val="18"/>
        </w:rPr>
        <w:t xml:space="preserve"> </w:t>
      </w:r>
      <w:r w:rsidRPr="009F33B4">
        <w:rPr>
          <w:sz w:val="18"/>
        </w:rPr>
        <w:t>В соответствии с Федеральным законом от 24.11.1995 № 181-ФЗ «О социальной защите инвалидов в Российской Федерации» обеспечение инвалидов техническими средствами реабилитации (далее – ТСР) осуществляется территориальными органами Фонда на основании индивидуальных программ реабилитации или абилитации инвалида (далее – ИПРА), разрабатываемых федеральными учреждениями медико-социальной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утвержденными постановлением Правительства Российской Федерации от 07.04.2008 № 240. Наименование товара определено на основании Приказа Министерства труда и социальной защиты Российской Федерации от 13.02.2018 г. N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CF4" w:rsidRDefault="006E7CF4" w:rsidP="00A273BE">
    <w:pPr>
      <w:pStyle w:val="a3"/>
      <w:jc w:val="center"/>
    </w:pPr>
    <w:r>
      <w:fldChar w:fldCharType="begin"/>
    </w:r>
    <w:r>
      <w:instrText>PAGE   \* MERGEFORMAT</w:instrText>
    </w:r>
    <w:r>
      <w:fldChar w:fldCharType="separate"/>
    </w:r>
    <w:r>
      <w:rPr>
        <w:noProof/>
      </w:rPr>
      <w:t>3</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CF4"/>
    <w:rsid w:val="0051747D"/>
    <w:rsid w:val="006E7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23D321-F6D2-49F6-95AB-09549B04B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CF4"/>
    <w:pPr>
      <w:suppressAutoHyphens/>
      <w:spacing w:after="0" w:line="100" w:lineRule="atLeast"/>
      <w:textAlignment w:val="baseline"/>
    </w:pPr>
    <w:rPr>
      <w:rFonts w:ascii="Times New Roman" w:eastAsia="Times New Roman"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7CF4"/>
    <w:pPr>
      <w:tabs>
        <w:tab w:val="center" w:pos="4677"/>
        <w:tab w:val="right" w:pos="9355"/>
      </w:tabs>
    </w:pPr>
    <w:rPr>
      <w:lang w:val="x-none"/>
    </w:rPr>
  </w:style>
  <w:style w:type="character" w:customStyle="1" w:styleId="a4">
    <w:name w:val="Верхний колонтитул Знак"/>
    <w:basedOn w:val="a0"/>
    <w:link w:val="a3"/>
    <w:uiPriority w:val="99"/>
    <w:rsid w:val="006E7CF4"/>
    <w:rPr>
      <w:rFonts w:ascii="Times New Roman" w:eastAsia="Times New Roman" w:hAnsi="Times New Roman" w:cs="Times New Roman"/>
      <w:kern w:val="1"/>
      <w:sz w:val="24"/>
      <w:szCs w:val="24"/>
      <w:lang w:val="x-none" w:eastAsia="ar-SA"/>
    </w:rPr>
  </w:style>
  <w:style w:type="paragraph" w:styleId="a5">
    <w:name w:val="footer"/>
    <w:basedOn w:val="a"/>
    <w:link w:val="a6"/>
    <w:uiPriority w:val="99"/>
    <w:unhideWhenUsed/>
    <w:rsid w:val="006E7CF4"/>
    <w:pPr>
      <w:tabs>
        <w:tab w:val="center" w:pos="4677"/>
        <w:tab w:val="right" w:pos="9355"/>
      </w:tabs>
    </w:pPr>
    <w:rPr>
      <w:lang w:val="x-none"/>
    </w:rPr>
  </w:style>
  <w:style w:type="character" w:customStyle="1" w:styleId="a6">
    <w:name w:val="Нижний колонтитул Знак"/>
    <w:basedOn w:val="a0"/>
    <w:link w:val="a5"/>
    <w:uiPriority w:val="99"/>
    <w:rsid w:val="006E7CF4"/>
    <w:rPr>
      <w:rFonts w:ascii="Times New Roman" w:eastAsia="Times New Roman" w:hAnsi="Times New Roman" w:cs="Times New Roman"/>
      <w:kern w:val="1"/>
      <w:sz w:val="24"/>
      <w:szCs w:val="24"/>
      <w:lang w:val="x-none" w:eastAsia="ar-SA"/>
    </w:rPr>
  </w:style>
  <w:style w:type="paragraph" w:styleId="a7">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8"/>
    <w:unhideWhenUsed/>
    <w:rsid w:val="006E7CF4"/>
    <w:rPr>
      <w:sz w:val="20"/>
      <w:szCs w:val="20"/>
    </w:rPr>
  </w:style>
  <w:style w:type="character" w:customStyle="1" w:styleId="a8">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7"/>
    <w:rsid w:val="006E7CF4"/>
    <w:rPr>
      <w:rFonts w:ascii="Times New Roman" w:eastAsia="Times New Roman" w:hAnsi="Times New Roman" w:cs="Times New Roman"/>
      <w:kern w:val="1"/>
      <w:sz w:val="20"/>
      <w:szCs w:val="20"/>
      <w:lang w:eastAsia="ar-SA"/>
    </w:rPr>
  </w:style>
  <w:style w:type="character" w:styleId="a9">
    <w:name w:val="footnote reference"/>
    <w:aliases w:val="Ссылка на сноску 45"/>
    <w:uiPriority w:val="99"/>
    <w:rsid w:val="006E7C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8505</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Наталья Александровна</dc:creator>
  <cp:keywords/>
  <dc:description/>
  <cp:lastModifiedBy>Абрамова Наталья Александровна</cp:lastModifiedBy>
  <cp:revision>1</cp:revision>
  <dcterms:created xsi:type="dcterms:W3CDTF">2022-08-29T14:18:00Z</dcterms:created>
  <dcterms:modified xsi:type="dcterms:W3CDTF">2022-08-29T14:18:00Z</dcterms:modified>
</cp:coreProperties>
</file>