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b w:val="false"/>
          <w:b w:val="false"/>
          <w:bCs w:val="false"/>
        </w:rPr>
      </w:pPr>
      <w:r>
        <w:rPr>
          <w:rFonts w:cs="Times New Roman" w:ascii="Times New Roman" w:hAnsi="Times New Roman"/>
          <w:b w:val="false"/>
          <w:bCs w:val="false"/>
          <w:color w:val="000000"/>
          <w:sz w:val="20"/>
          <w:szCs w:val="20"/>
        </w:rPr>
        <w:t>П</w:t>
      </w:r>
      <w:r>
        <w:rPr>
          <w:rFonts w:ascii="Times New Roman" w:hAnsi="Times New Roman"/>
          <w:b w:val="false"/>
          <w:bCs w:val="false"/>
          <w:color w:val="000000"/>
          <w:sz w:val="20"/>
          <w:szCs w:val="20"/>
        </w:rPr>
        <w:t xml:space="preserve">риложение №3 к извещению о проведении </w:t>
      </w:r>
    </w:p>
    <w:p>
      <w:pPr>
        <w:pStyle w:val="Normal"/>
        <w:spacing w:lineRule="auto" w:line="240" w:before="0" w:after="0"/>
        <w:jc w:val="right"/>
        <w:rPr>
          <w:b w:val="false"/>
          <w:b w:val="false"/>
          <w:bCs w:val="false"/>
        </w:rPr>
      </w:pPr>
      <w:r>
        <w:rPr>
          <w:rFonts w:eastAsia="Times New Roman" w:cs="Times New Roman" w:ascii="Times New Roman" w:hAnsi="Times New Roman"/>
          <w:b w:val="false"/>
          <w:bCs w:val="false"/>
          <w:color w:val="000000"/>
          <w:sz w:val="20"/>
          <w:szCs w:val="20"/>
        </w:rPr>
        <w:t>электронного аукциона</w:t>
      </w:r>
    </w:p>
    <w:p>
      <w:pPr>
        <w:pStyle w:val="Normal"/>
        <w:spacing w:lineRule="auto" w:line="240" w:before="0" w:after="24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24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Описание объекта закупки</w:t>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Оказание услуг по обеспечению слуховыми аппаратами цифровыми заушными различных модификаций в 2024 г.</w:t>
      </w:r>
    </w:p>
    <w:p>
      <w:pPr>
        <w:pStyle w:val="Normal"/>
        <w:rPr>
          <w:b/>
          <w:b/>
          <w:color w:val="000000" w:themeColor="text1"/>
          <w:sz w:val="24"/>
          <w:szCs w:val="24"/>
        </w:rPr>
      </w:pPr>
      <w:r>
        <w:rPr>
          <w:b/>
          <w:color w:val="000000" w:themeColor="text1"/>
          <w:sz w:val="24"/>
          <w:szCs w:val="24"/>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3"/>
        <w:gridCol w:w="5528"/>
        <w:gridCol w:w="1553"/>
      </w:tblGrid>
      <w:tr>
        <w:trPr/>
        <w:tc>
          <w:tcPr>
            <w:tcW w:w="2263"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товара (работы, услуги)</w:t>
            </w:r>
          </w:p>
        </w:tc>
        <w:tc>
          <w:tcPr>
            <w:tcW w:w="5528"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Требования к техническим, функциональным характеристикам, размерам и иные необходимые показатели</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Кол-во, шт.</w:t>
            </w:r>
          </w:p>
        </w:tc>
      </w:tr>
      <w:tr>
        <w:trPr/>
        <w:tc>
          <w:tcPr>
            <w:tcW w:w="2263"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color w:val="000000"/>
                <w:kern w:val="0"/>
                <w:sz w:val="22"/>
                <w:szCs w:val="22"/>
                <w:lang w:val="ru-RU" w:eastAsia="en-US" w:bidi="ar-SA"/>
              </w:rPr>
              <w:t>Слуховой аппарат цифровой заушный средней мощности</w:t>
            </w:r>
          </w:p>
        </w:tc>
        <w:tc>
          <w:tcPr>
            <w:tcW w:w="5528" w:type="dxa"/>
            <w:tcBorders/>
          </w:tcPr>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Слуховой аппарат цифровой заушный средней мощности (шифр\модель, страна происхождения)</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Максимальный ВУЗД 90 должен быть не менее 124 дБ не более 128 дБ.</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Максимальное усиление не менее 55 дБ не более 61 дБ.</w:t>
            </w:r>
          </w:p>
          <w:p>
            <w:pPr>
              <w:pStyle w:val="Normal"/>
              <w:widowControl w:val="false"/>
              <w:suppressAutoHyphens w:val="true"/>
              <w:spacing w:lineRule="auto" w:line="240" w:before="0" w:after="0"/>
              <w:jc w:val="both"/>
              <w:rPr>
                <w:spacing w:val="-4"/>
              </w:rPr>
            </w:pPr>
            <w:r>
              <w:rPr>
                <w:rFonts w:eastAsia="Times New Roman" w:cs="Times New Roman" w:ascii="Times New Roman" w:hAnsi="Times New Roman"/>
                <w:spacing w:val="-4"/>
                <w:kern w:val="0"/>
                <w:sz w:val="22"/>
                <w:szCs w:val="22"/>
                <w:lang w:val="ru-RU" w:eastAsia="ru-RU" w:bidi="ar-SA"/>
              </w:rPr>
              <w:t xml:space="preserve">Диапазон частот </w:t>
            </w:r>
            <w:r>
              <w:rPr>
                <w:rFonts w:eastAsia="Calibri" w:cs="Times New Roman" w:ascii="Times New Roman" w:hAnsi="Times New Roman"/>
                <w:spacing w:val="-4"/>
                <w:kern w:val="0"/>
                <w:sz w:val="22"/>
                <w:szCs w:val="22"/>
                <w:lang w:val="ru-RU" w:eastAsia="en-US" w:bidi="ar-SA"/>
              </w:rPr>
              <w:t>не уже 0,1 кГц - 6,2 кГц.</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Количество каналов цифровой обработки звука - не менее 6.</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Количество программ прослушивания - не менее 3-х.</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Должен иметь следующие дополнительные параметры:</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 подавление собственных шумов микрофона;</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 задержка включения;</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 направленный микрофон;</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 противофазное подавление обратной связи;</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Times New Roman" w:cs="Times New Roman" w:ascii="Times New Roman" w:hAnsi="Times New Roman"/>
                <w:spacing w:val="-4"/>
                <w:kern w:val="0"/>
                <w:sz w:val="22"/>
                <w:szCs w:val="22"/>
                <w:lang w:val="ru-RU" w:eastAsia="ru-RU" w:bidi="ar-SA"/>
              </w:rPr>
              <w:t>- журнал сбора данных</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rFonts w:ascii="Times New Roman" w:hAnsi="Times New Roman" w:cs="Times New Roman"/>
              </w:rPr>
            </w:pPr>
            <w:r>
              <w:rPr>
                <w:rFonts w:eastAsia="Calibri" w:cs=""/>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xml:space="preserve">влагозащитное покрытие, </w:t>
            </w:r>
            <w:r>
              <w:rPr>
                <w:rFonts w:eastAsia="Calibri" w:cs="Times New Roman" w:ascii="Times New Roman" w:hAnsi="Times New Roman"/>
                <w:color w:val="000000"/>
                <w:kern w:val="0"/>
                <w:sz w:val="22"/>
                <w:szCs w:val="22"/>
                <w:lang w:val="ru-RU" w:eastAsia="en-US" w:bidi="ar-SA"/>
              </w:rPr>
              <w:t>защищающее аппарат от влаги и грязи</w:t>
            </w:r>
            <w:r>
              <w:rPr>
                <w:rFonts w:eastAsia="Calibri" w:cs="Times New Roman" w:ascii="Times New Roman" w:hAnsi="Times New Roman"/>
                <w:kern w:val="0"/>
                <w:sz w:val="22"/>
                <w:szCs w:val="22"/>
                <w:lang w:val="ru-RU" w:eastAsia="en-US" w:bidi="ar-SA"/>
              </w:rPr>
              <w:t>.</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rFonts w:ascii="Times New Roman" w:hAnsi="Times New Roman" w:cs="Times New Roman"/>
              </w:rPr>
            </w:pPr>
            <w:r>
              <w:rPr>
                <w:rFonts w:eastAsia="Times New Roman" w:cs="Times New Roman" w:ascii="Times New Roman" w:hAnsi="Times New Roman"/>
                <w:spacing w:val="-4"/>
                <w:kern w:val="0"/>
                <w:sz w:val="22"/>
                <w:szCs w:val="22"/>
                <w:lang w:val="ru-RU" w:eastAsia="ru-RU"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 w:ascii="Times New Roman" w:hAnsi="Times New Roman"/>
                <w:kern w:val="0"/>
                <w:sz w:val="24"/>
                <w:szCs w:val="24"/>
                <w:lang w:val="ru-RU" w:eastAsia="en-US" w:bidi="ar-SA"/>
              </w:rPr>
              <w:t>2</w:t>
            </w:r>
          </w:p>
        </w:tc>
      </w:tr>
      <w:tr>
        <w:trPr/>
        <w:tc>
          <w:tcPr>
            <w:tcW w:w="2263"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2"/>
                <w:szCs w:val="22"/>
                <w:lang w:val="ru-RU" w:eastAsia="ru-RU" w:bidi="ar-SA"/>
              </w:rPr>
              <w:t>Слуховой аппарат цифровой заушный мощный</w:t>
            </w:r>
          </w:p>
          <w:p>
            <w:pPr>
              <w:pStyle w:val="Normal"/>
              <w:widowControl w:val="false"/>
              <w:suppressAutoHyphens w:val="true"/>
              <w:spacing w:lineRule="auto" w:line="240" w:before="0" w:after="0"/>
              <w:jc w:val="left"/>
              <w:rPr>
                <w:rFonts w:ascii="Times New Roman" w:hAnsi="Times New Roman" w:cs="Times New Roman"/>
                <w:color w:val="000000"/>
              </w:rPr>
            </w:pPr>
            <w:r>
              <w:rPr>
                <w:rFonts w:eastAsia="Times New Roman" w:cs="Times New Roman" w:ascii="Times New Roman" w:hAnsi="Times New Roman"/>
                <w:color w:val="000000"/>
                <w:kern w:val="0"/>
                <w:sz w:val="22"/>
                <w:szCs w:val="22"/>
                <w:lang w:val="ru-RU" w:eastAsia="ru-RU" w:bidi="ar-SA"/>
              </w:rPr>
              <w:t>(для детей и молодёжи)</w:t>
            </w:r>
          </w:p>
        </w:tc>
        <w:tc>
          <w:tcPr>
            <w:tcW w:w="5528"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цифровой заушный мощный (для детей и молодёжи)</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(шифр\модель, страна происхождения)</w:t>
            </w:r>
          </w:p>
          <w:p>
            <w:pPr>
              <w:pStyle w:val="Normal"/>
              <w:widowControl w:val="false"/>
              <w:suppressAutoHyphens w:val="true"/>
              <w:spacing w:lineRule="auto" w:line="240" w:before="0" w:after="0"/>
              <w:jc w:val="left"/>
              <w:rPr>
                <w:rFonts w:ascii="Times New Roman" w:hAnsi="Times New Roman" w:cs="Times New Roman"/>
                <w:color w:val="000000" w:themeColor="text1"/>
              </w:rPr>
            </w:pPr>
            <w:r>
              <w:rPr>
                <w:rFonts w:eastAsia="Calibri" w:cs="Times New Roman" w:ascii="Times New Roman" w:hAnsi="Times New Roman"/>
                <w:color w:val="000000" w:themeColor="text1"/>
                <w:kern w:val="0"/>
                <w:sz w:val="22"/>
                <w:szCs w:val="22"/>
                <w:lang w:val="ru-RU" w:eastAsia="en-US" w:bidi="ar-SA"/>
              </w:rPr>
              <w:t>Диапазон частот не уже 0,1 кГц не менее 5,5 кГц</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Максимальный ВУЗД не менее 129 дБ не более 135дБ.</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Максимальное усиление не уже 60 дБ - 70 дБ. Количество каналов цифровой обработки звука не менее 17.</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Количество программ прослушивания не менее 4.</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Должны иметь следующие дополнительные параметры:</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подавление собственных шумов микрофона;</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система подавления обратной связи;</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направленные микрофоны;</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микрофоны не менее 2-х;</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частотная компрессия;</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менеджер речи и шума;</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журнал сбора данных;</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частотная компрессия;</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подавление шума ветра;</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 возможностью активации сигналов о переключении программ;</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функция подачи звукового сигнала при разряде батареи;</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rFonts w:eastAsia="Calibri"/>
                <w:kern w:val="0"/>
                <w:sz w:val="22"/>
                <w:szCs w:val="22"/>
                <w:lang w:val="ru-RU" w:eastAsia="en-US" w:bidi="ar-SA"/>
              </w:rPr>
            </w:pPr>
            <w:r>
              <w:rPr>
                <w:rFonts w:eastAsia="Calibri" w:cs=""/>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xml:space="preserve">влагозащитное покрытие, </w:t>
            </w:r>
            <w:r>
              <w:rPr>
                <w:rFonts w:eastAsia="Calibri" w:cs="Times New Roman" w:ascii="Times New Roman" w:hAnsi="Times New Roman"/>
                <w:color w:val="000000"/>
                <w:kern w:val="0"/>
                <w:sz w:val="22"/>
                <w:szCs w:val="22"/>
                <w:lang w:val="ru-RU" w:eastAsia="en-US" w:bidi="ar-SA"/>
              </w:rPr>
              <w:t>защищающее аппарат от влаги и грязи</w:t>
            </w:r>
            <w:r>
              <w:rPr>
                <w:rFonts w:eastAsia="Calibri" w:cs="Times New Roman" w:ascii="Times New Roman" w:hAnsi="Times New Roman"/>
                <w:kern w:val="0"/>
                <w:sz w:val="22"/>
                <w:szCs w:val="22"/>
                <w:lang w:val="ru-RU" w:eastAsia="en-US" w:bidi="ar-SA"/>
              </w:rPr>
              <w:t>.</w:t>
            </w:r>
          </w:p>
          <w:p>
            <w:pPr>
              <w:pStyle w:val="Normal"/>
              <w:widowControl w:val="false"/>
              <w:suppressAutoHyphens w:val="true"/>
              <w:spacing w:lineRule="auto" w:line="240" w:before="0" w:after="0"/>
              <w:jc w:val="both"/>
              <w:rPr>
                <w:rFonts w:ascii="Times New Roman" w:hAnsi="Times New Roman" w:eastAsia="Times New Roman" w:cs="Times New Roman"/>
                <w:spacing w:val="-4"/>
                <w:lang w:eastAsia="ru-RU"/>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 w:ascii="Times New Roman" w:hAnsi="Times New Roman"/>
                <w:kern w:val="0"/>
                <w:sz w:val="24"/>
                <w:szCs w:val="24"/>
                <w:lang w:val="ru-RU" w:eastAsia="en-US" w:bidi="ar-SA"/>
              </w:rPr>
              <w:t>10</w:t>
            </w:r>
          </w:p>
        </w:tc>
      </w:tr>
      <w:tr>
        <w:trPr/>
        <w:tc>
          <w:tcPr>
            <w:tcW w:w="2263"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4"/>
                <w:szCs w:val="24"/>
                <w:lang w:eastAsia="ru-RU"/>
              </w:rPr>
            </w:pPr>
            <w:r>
              <w:rPr>
                <w:rFonts w:eastAsia="Calibri" w:cs="Times New Roman" w:ascii="Times New Roman" w:hAnsi="Times New Roman"/>
                <w:kern w:val="0"/>
                <w:sz w:val="24"/>
                <w:szCs w:val="24"/>
                <w:lang w:val="ru-RU" w:eastAsia="en-US" w:bidi="ar-SA"/>
              </w:rPr>
              <w:t>Слуховой аппарат цифровой заушный мощный</w:t>
            </w:r>
          </w:p>
        </w:tc>
        <w:tc>
          <w:tcPr>
            <w:tcW w:w="5528"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цифровой заушный мощный</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(шифр\модель, страна происхождения)</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Диапазон частот </w:t>
            </w:r>
            <w:r>
              <w:rPr>
                <w:rFonts w:eastAsia="Calibri" w:cs="Times New Roman" w:ascii="Times New Roman" w:hAnsi="Times New Roman"/>
                <w:color w:val="000000"/>
                <w:kern w:val="2"/>
                <w:sz w:val="22"/>
                <w:szCs w:val="22"/>
                <w:lang w:val="ru-RU" w:eastAsia="en-US" w:bidi="ar-SA"/>
              </w:rPr>
              <w:t>не более 0,1 кГц не менее 6,0 кГц</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Максимальный ВУЗД </w:t>
            </w:r>
            <w:r>
              <w:rPr>
                <w:rFonts w:eastAsia="Calibri" w:cs="Times New Roman" w:ascii="Times New Roman" w:hAnsi="Times New Roman"/>
                <w:color w:val="000000"/>
                <w:kern w:val="2"/>
                <w:sz w:val="22"/>
                <w:szCs w:val="22"/>
                <w:lang w:val="ru-RU" w:eastAsia="en-US" w:bidi="ar-SA"/>
              </w:rPr>
              <w:t>должен быть не менее 130 дБ не более 136 дБ</w:t>
            </w:r>
            <w:r>
              <w:rPr>
                <w:rFonts w:eastAsia="Calibri" w:cs="Times New Roman" w:ascii="Times New Roman" w:hAnsi="Times New Roman"/>
                <w:kern w:val="0"/>
                <w:sz w:val="22"/>
                <w:szCs w:val="22"/>
                <w:lang w:val="ru-RU" w:eastAsia="en-US" w:bidi="ar-SA"/>
              </w:rPr>
              <w:t>.</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Максимальное усиление </w:t>
            </w:r>
            <w:r>
              <w:rPr>
                <w:rFonts w:eastAsia="Calibri" w:cs="Times New Roman" w:ascii="Times New Roman" w:hAnsi="Times New Roman"/>
                <w:color w:val="000000"/>
                <w:kern w:val="2"/>
                <w:sz w:val="22"/>
                <w:szCs w:val="22"/>
                <w:lang w:val="ru-RU" w:eastAsia="en-US" w:bidi="ar-SA"/>
              </w:rPr>
              <w:t>не менее 65 дБ не более 69 дБ</w:t>
            </w:r>
            <w:r>
              <w:rPr>
                <w:rFonts w:eastAsia="Calibri" w:cs="Times New Roman" w:ascii="Times New Roman" w:hAnsi="Times New Roman"/>
                <w:kern w:val="0"/>
                <w:sz w:val="22"/>
                <w:szCs w:val="22"/>
                <w:lang w:val="ru-RU" w:eastAsia="en-US" w:bidi="ar-SA"/>
              </w:rPr>
              <w:t>.</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Количество каналов цифровой обработки звука - </w:t>
            </w:r>
            <w:r>
              <w:rPr>
                <w:rFonts w:eastAsia="Calibri" w:cs="Times New Roman" w:ascii="Times New Roman" w:hAnsi="Times New Roman"/>
                <w:color w:val="000000"/>
                <w:kern w:val="2"/>
                <w:sz w:val="22"/>
                <w:szCs w:val="22"/>
                <w:lang w:val="ru-RU" w:eastAsia="en-US" w:bidi="ar-SA"/>
              </w:rPr>
              <w:t>не менее 6</w:t>
            </w:r>
            <w:r>
              <w:rPr>
                <w:rFonts w:eastAsia="Calibri" w:cs="Times New Roman" w:ascii="Times New Roman" w:hAnsi="Times New Roman"/>
                <w:kern w:val="0"/>
                <w:sz w:val="22"/>
                <w:szCs w:val="22"/>
                <w:lang w:val="ru-RU" w:eastAsia="en-US" w:bidi="ar-SA"/>
              </w:rPr>
              <w:t>.</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Количество программ прослушивания - </w:t>
            </w:r>
            <w:r>
              <w:rPr>
                <w:rFonts w:eastAsia="Calibri" w:cs="Times New Roman" w:ascii="Times New Roman" w:hAnsi="Times New Roman"/>
                <w:color w:val="000000"/>
                <w:kern w:val="2"/>
                <w:sz w:val="22"/>
                <w:szCs w:val="22"/>
                <w:lang w:val="ru-RU" w:eastAsia="en-US" w:bidi="ar-SA"/>
              </w:rPr>
              <w:t>не менее 3-х</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Должны иметь следующие дополнительные параметры:</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система подавления обратной связи;</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журнал сбора данных;</w:t>
            </w:r>
          </w:p>
          <w:p>
            <w:pPr>
              <w:pStyle w:val="Normal"/>
              <w:keepNext w:val="true"/>
              <w:keepLines/>
              <w:widowControl w:val="false"/>
              <w:tabs>
                <w:tab w:val="clear" w:pos="709"/>
                <w:tab w:val="left" w:pos="102"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w:t>
            </w:r>
            <w:r>
              <w:rPr>
                <w:rFonts w:eastAsia="Calibri" w:cs="Times New Roman" w:ascii="Times New Roman" w:hAnsi="Times New Roman"/>
                <w:color w:val="333333"/>
                <w:kern w:val="0"/>
                <w:sz w:val="22"/>
                <w:szCs w:val="22"/>
                <w:shd w:fill="FFFFFF" w:val="clear"/>
                <w:lang w:val="ru-RU" w:eastAsia="en-US" w:bidi="ar-SA"/>
              </w:rPr>
              <w:t>подавление уровня внутренних шумов </w:t>
            </w:r>
            <w:r>
              <w:rPr>
                <w:rFonts w:eastAsia="Calibri" w:cs="Times New Roman" w:ascii="Times New Roman" w:hAnsi="Times New Roman"/>
                <w:bCs/>
                <w:color w:val="333333"/>
                <w:kern w:val="0"/>
                <w:sz w:val="22"/>
                <w:szCs w:val="22"/>
                <w:shd w:fill="FFFFFF" w:val="clear"/>
                <w:lang w:val="ru-RU" w:eastAsia="en-US" w:bidi="ar-SA"/>
              </w:rPr>
              <w:t>аппарата</w:t>
            </w:r>
            <w:r>
              <w:rPr>
                <w:rFonts w:eastAsia="Calibri" w:cs="Times New Roman" w:ascii="Times New Roman" w:hAnsi="Times New Roman"/>
                <w:kern w:val="0"/>
                <w:sz w:val="22"/>
                <w:szCs w:val="22"/>
                <w:lang w:val="ru-RU" w:eastAsia="en-US" w:bidi="ar-SA"/>
              </w:rPr>
              <w:t>;</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менеджер шума;</w:t>
            </w:r>
          </w:p>
          <w:p>
            <w:pPr>
              <w:pStyle w:val="Normal"/>
              <w:keepNext w:val="true"/>
              <w:keepLines/>
              <w:widowControl w:val="false"/>
              <w:tabs>
                <w:tab w:val="clear" w:pos="709"/>
                <w:tab w:val="left" w:pos="708" w:leader="none"/>
              </w:tabs>
              <w:suppressAutoHyphens w:val="true"/>
              <w:snapToGrid w:val="fals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 направленный микрофон;</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функция подачи звукового сигнала при разряде батареи;</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rFonts w:eastAsia="Calibri"/>
                <w:kern w:val="0"/>
                <w:sz w:val="22"/>
                <w:szCs w:val="22"/>
                <w:lang w:val="ru-RU" w:eastAsia="en-US" w:bidi="ar-SA"/>
              </w:rPr>
            </w:pPr>
            <w:r>
              <w:rPr>
                <w:rFonts w:eastAsia="Calibri" w:cs=""/>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xml:space="preserve">влагозащитное покрытие, </w:t>
            </w:r>
            <w:r>
              <w:rPr>
                <w:rFonts w:eastAsia="Calibri" w:cs="Times New Roman" w:ascii="Times New Roman" w:hAnsi="Times New Roman"/>
                <w:color w:val="000000"/>
                <w:kern w:val="0"/>
                <w:sz w:val="22"/>
                <w:szCs w:val="22"/>
                <w:lang w:val="ru-RU" w:eastAsia="en-US" w:bidi="ar-SA"/>
              </w:rPr>
              <w:t>защищающее аппарат от влаги и грязи</w:t>
            </w:r>
            <w:r>
              <w:rPr>
                <w:rFonts w:eastAsia="Calibri" w:cs="Times New Roman" w:ascii="Times New Roman" w:hAnsi="Times New Roman"/>
                <w:kern w:val="0"/>
                <w:sz w:val="22"/>
                <w:szCs w:val="22"/>
                <w:lang w:val="ru-RU" w:eastAsia="en-US" w:bidi="ar-SA"/>
              </w:rPr>
              <w:t>.</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150</w:t>
            </w:r>
          </w:p>
        </w:tc>
      </w:tr>
      <w:tr>
        <w:trPr/>
        <w:tc>
          <w:tcPr>
            <w:tcW w:w="2263" w:type="dxa"/>
            <w:tcBorders/>
          </w:tcPr>
          <w:p>
            <w:pPr>
              <w:pStyle w:val="Normal"/>
              <w:widowControl w:val="false"/>
              <w:suppressAutoHyphens w:val="true"/>
              <w:snapToGrid w:val="false"/>
              <w:spacing w:lineRule="auto" w:line="240" w:before="0" w:after="0"/>
              <w:jc w:val="left"/>
              <w:rPr>
                <w:rFonts w:ascii="Times New Roman" w:hAnsi="Times New Roman" w:eastAsia="Times New Roman" w:cs="Times New Roman"/>
                <w:lang w:eastAsia="ar-SA"/>
              </w:rPr>
            </w:pPr>
            <w:r>
              <w:rPr>
                <w:rFonts w:eastAsia="Times New Roman" w:cs="Times New Roman" w:ascii="Times New Roman" w:hAnsi="Times New Roman"/>
                <w:kern w:val="0"/>
                <w:sz w:val="22"/>
                <w:szCs w:val="22"/>
                <w:lang w:val="ru-RU" w:eastAsia="ar-SA" w:bidi="ar-SA"/>
              </w:rPr>
              <w:t>Слуховой аппарат цифровой заушный сверхмощный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2"/>
                <w:szCs w:val="22"/>
                <w:lang w:val="ru-RU" w:eastAsia="ar-SA" w:bidi="ar-SA"/>
              </w:rPr>
              <w:t>(для детей и молодёжи)</w:t>
            </w:r>
          </w:p>
        </w:tc>
        <w:tc>
          <w:tcPr>
            <w:tcW w:w="5528"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цифровой заушный сверхмощный (для детей и молодёжи) (шифр\модель, страна происхождения)</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Максимальный ВУЗД 90 – не менее 140 дБ</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Максимальное усиление – не менее 82 дБ</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Диапазон частот – не уже 0,1- 4,9 кГц</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Количество каналов цифровой обработки звука – не менее 20</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Количество программ прослушивания – не менее 5</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Регулировка усиления, учитывающая индивидуальные аудиометрические данные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дополнительное усиление низких частот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автоматическое изменение и оптимизация параметров работы слухового аппарата в зависимости от окружающей акустической обстановки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подавление внезапных высокоинтенсивных звуков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нелинейная частотная компрессия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адаптивная система подавления обратной связи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адаптивная система шумоподавления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система направленных микрофонов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адаптивная направленность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защитные фильтры микрофона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бинауральная синхронизация переключения программ и регулировки громкости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регистрация данных о пользовательских режимах работы слухового аппарата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совместимость с FM-системами – наличие;</w:t>
            </w:r>
          </w:p>
          <w:p>
            <w:pPr>
              <w:pStyle w:val="Normal"/>
              <w:keepNext w:val="true"/>
              <w:widowControl w:val="false"/>
              <w:tabs>
                <w:tab w:val="clear" w:pos="709"/>
                <w:tab w:val="left" w:pos="-789" w:leader="none"/>
              </w:tabs>
              <w:suppressAutoHyphens w:val="true"/>
              <w:snapToGrid w:val="false"/>
              <w:spacing w:lineRule="auto" w:line="240" w:before="0" w:after="0"/>
              <w:ind w:left="-11" w:right="-3" w:hanging="0"/>
              <w:jc w:val="left"/>
              <w:rPr>
                <w:kern w:val="0"/>
                <w:sz w:val="22"/>
                <w:szCs w:val="22"/>
                <w:lang w:val="ru-RU" w:bidi="ar-SA"/>
              </w:rPr>
            </w:pPr>
            <w:r>
              <w:rPr>
                <w:rFonts w:eastAsia="Times New Roman" w:cs="Times New Roman" w:ascii="Times New Roman" w:hAnsi="Times New Roman"/>
                <w:spacing w:val="-4"/>
                <w:kern w:val="0"/>
                <w:sz w:val="22"/>
                <w:szCs w:val="22"/>
                <w:lang w:val="ru-RU" w:eastAsia="ru-RU" w:bidi="ar-SA"/>
              </w:rPr>
              <w:t>в</w:t>
            </w:r>
            <w:r>
              <w:rPr>
                <w:rFonts w:eastAsia="Calibri" w:cs="Times New Roman" w:ascii="Times New Roman" w:hAnsi="Times New Roman"/>
                <w:kern w:val="0"/>
                <w:sz w:val="22"/>
                <w:szCs w:val="22"/>
                <w:lang w:val="ru-RU" w:eastAsia="en-US" w:bidi="ar-SA"/>
              </w:rPr>
              <w:t xml:space="preserve">лагозащитное покрытие, </w:t>
            </w:r>
            <w:r>
              <w:rPr>
                <w:rFonts w:eastAsia="Calibri" w:cs="Times New Roman" w:ascii="Times New Roman" w:hAnsi="Times New Roman"/>
                <w:color w:val="000000"/>
                <w:kern w:val="0"/>
                <w:sz w:val="22"/>
                <w:szCs w:val="22"/>
                <w:lang w:val="ru-RU" w:eastAsia="en-US" w:bidi="ar-SA"/>
              </w:rPr>
              <w:t>защищающее аппарат от влаги и грязи</w:t>
            </w:r>
            <w:r>
              <w:rPr>
                <w:rFonts w:eastAsia="Calibri" w:cs="Times New Roman" w:ascii="Times New Roman" w:hAnsi="Times New Roman"/>
                <w:kern w:val="0"/>
                <w:sz w:val="22"/>
                <w:szCs w:val="22"/>
                <w:lang w:val="ru-RU" w:eastAsia="en-US" w:bidi="ar-SA"/>
              </w:rPr>
              <w:t xml:space="preserve">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10</w:t>
            </w:r>
          </w:p>
        </w:tc>
      </w:tr>
      <w:tr>
        <w:trPr/>
        <w:tc>
          <w:tcPr>
            <w:tcW w:w="226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Слуховой аппарат цифровой заушный сверхмощный</w:t>
            </w:r>
          </w:p>
        </w:tc>
        <w:tc>
          <w:tcPr>
            <w:tcW w:w="5528" w:type="dxa"/>
            <w:tcBorders/>
          </w:tcPr>
          <w:p>
            <w:pPr>
              <w:pStyle w:val="Normal"/>
              <w:widowControl w:val="false"/>
              <w:tabs>
                <w:tab w:val="clear" w:pos="709"/>
                <w:tab w:val="left" w:pos="708" w:leader="none"/>
              </w:tabs>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цифровой заушный сверхмощный (шифр\модель, страна происхождения)</w:t>
            </w:r>
          </w:p>
          <w:p>
            <w:pPr>
              <w:pStyle w:val="Normal"/>
              <w:widowControl w:val="false"/>
              <w:tabs>
                <w:tab w:val="clear" w:pos="709"/>
                <w:tab w:val="left" w:pos="708" w:leader="none"/>
              </w:tabs>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Диапазон частот не более 0,1и не менее 4,85 кГц, Количество каналов цифровой обработки звука не менее 9</w:t>
            </w:r>
          </w:p>
          <w:p>
            <w:pPr>
              <w:pStyle w:val="Normal"/>
              <w:widowControl w:val="false"/>
              <w:tabs>
                <w:tab w:val="clear" w:pos="709"/>
                <w:tab w:val="left" w:pos="708" w:leader="none"/>
              </w:tabs>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Программ прослушивания не менее 4-х.</w:t>
            </w:r>
          </w:p>
          <w:p>
            <w:pPr>
              <w:pStyle w:val="Normal"/>
              <w:widowControl w:val="false"/>
              <w:tabs>
                <w:tab w:val="clear" w:pos="709"/>
                <w:tab w:val="left" w:pos="708" w:leader="none"/>
              </w:tabs>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Максимальный ВУЗД 90 не более 139 дБ.</w:t>
            </w:r>
          </w:p>
          <w:p>
            <w:pPr>
              <w:pStyle w:val="Normal"/>
              <w:widowControl w:val="false"/>
              <w:tabs>
                <w:tab w:val="clear" w:pos="709"/>
                <w:tab w:val="left" w:pos="708" w:leader="none"/>
              </w:tabs>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Максимальное усиление не менее 78 дБ.</w:t>
            </w:r>
          </w:p>
          <w:p>
            <w:pPr>
              <w:pStyle w:val="Normal"/>
              <w:widowControl w:val="false"/>
              <w:suppressAutoHyphens w:val="true"/>
              <w:spacing w:lineRule="auto" w:line="240" w:before="0" w:after="0"/>
              <w:jc w:val="left"/>
              <w:rPr>
                <w:rFonts w:ascii="Times New Roman" w:hAnsi="Times New Roman" w:cs="Times New Roman"/>
                <w:bCs/>
              </w:rPr>
            </w:pPr>
            <w:r>
              <w:rPr>
                <w:rFonts w:eastAsia="Calibri" w:cs="Times New Roman" w:ascii="Times New Roman" w:hAnsi="Times New Roman"/>
                <w:kern w:val="0"/>
                <w:sz w:val="22"/>
                <w:szCs w:val="22"/>
                <w:lang w:val="ru-RU" w:eastAsia="en-US" w:bidi="ar-SA"/>
              </w:rPr>
              <w:t>Должны иметь следующие дополнительные функции:</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частотная компрессия и смещение неслышимых ВЧ звуков в зону с хорошим слухом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Система направленных микрофонов с автоматической адаптивной направленностью с интегрированной функцией подавления шума ветра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Двойное подавление обратной связи без снижения усиления с контролем свиста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Система шумоподавления, выявляющая и устраняющая фоновые шумы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компрессия широкого динамического диапазона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возможность переконфигурации СА в линейный режим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дневник регистрации данных по результатам ношения СА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экспансия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In-situ аудиометрия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аудиовход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автоматическое переключение в режим разговора по телефону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умный старт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вкл\ выкл с помощью батарейного отсека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аналоговый регулятор громкости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Должны иметь следующие дополнительные параметры:</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не менее 6-ти независимых частотных регулировок (ограничения) ВУЗД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раздельное усиление тихих, средней громкости и громких звуков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значение компрессии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диапазон регулятора громкости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режим телефонной катушки - наличие</w:t>
            </w:r>
          </w:p>
          <w:p>
            <w:pPr>
              <w:pStyle w:val="Normal"/>
              <w:widowControl w:val="false"/>
              <w:suppressAutoHyphens w:val="true"/>
              <w:spacing w:lineRule="auto" w:line="240" w:before="0" w:after="0"/>
              <w:jc w:val="left"/>
              <w:rPr>
                <w:rFonts w:ascii="Arial" w:hAnsi="Arial" w:cs="Arial"/>
              </w:rPr>
            </w:pPr>
            <w:r>
              <w:rPr>
                <w:rFonts w:eastAsia="Calibri" w:cs="Times New Roman" w:ascii="Times New Roman" w:hAnsi="Times New Roman"/>
                <w:kern w:val="0"/>
                <w:sz w:val="22"/>
                <w:szCs w:val="22"/>
                <w:lang w:val="ru-RU" w:eastAsia="en-US" w:bidi="ar-SA"/>
              </w:rPr>
              <w:t>- звуковой индикатор разряда батареи и переключения программ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color w:val="000000" w:themeColor="text1"/>
                <w:kern w:val="0"/>
                <w:sz w:val="22"/>
                <w:szCs w:val="22"/>
                <w:lang w:val="ru-RU" w:eastAsia="en-US" w:bidi="ar-SA"/>
              </w:rPr>
              <w:t xml:space="preserve">- влагозащитное покрытие, защищающее аппарат от </w:t>
            </w:r>
            <w:r>
              <w:rPr>
                <w:rFonts w:eastAsia="Calibri" w:cs="Times New Roman" w:ascii="Times New Roman" w:hAnsi="Times New Roman"/>
                <w:kern w:val="0"/>
                <w:sz w:val="22"/>
                <w:szCs w:val="22"/>
                <w:lang w:val="ru-RU" w:eastAsia="en-US" w:bidi="ar-SA"/>
              </w:rPr>
              <w:t>влаги и грязи.</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50</w:t>
            </w:r>
          </w:p>
        </w:tc>
      </w:tr>
      <w:tr>
        <w:trPr/>
        <w:tc>
          <w:tcPr>
            <w:tcW w:w="226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Слуховой аппарат аналоговый заушный сверхмощный</w:t>
            </w:r>
          </w:p>
        </w:tc>
        <w:tc>
          <w:tcPr>
            <w:tcW w:w="5528" w:type="dxa"/>
            <w:tcBorders/>
          </w:tcPr>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аналоговый заушный сверхмощный</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(шифр\модель, страна происхождения)</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Максимальный ВУЗД 90 должен быть не менее 138 дБ</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Максимальное усиление должно быть не менее 76 дБ</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Диапазон частот не более 0,1 кГц не менее 4,8 кГц,</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Должны иметь следующие дополнительные параметры:</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Регулировки:</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тембра низких частот (ТНЧ);</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регулятор громкости – наличие</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телефонная катушка – наличие</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автоматическая регулировка усиления (АРУ)</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аудиовход – наличие.</w:t>
            </w:r>
          </w:p>
          <w:p>
            <w:pPr>
              <w:pStyle w:val="Normal"/>
              <w:widowControl w:val="false"/>
              <w:suppressAutoHyphens w:val="true"/>
              <w:spacing w:lineRule="auto" w:line="240" w:before="0" w:after="0"/>
              <w:jc w:val="left"/>
              <w:rPr>
                <w:rFonts w:ascii="Times New Roman" w:hAnsi="Times New Roman" w:cs="Times New Roman"/>
                <w:b/>
                <w:b/>
                <w:bCs/>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r>
      <w:tr>
        <w:trPr/>
        <w:tc>
          <w:tcPr>
            <w:tcW w:w="226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Слуховой аппарат аналоговый заушный мощный</w:t>
            </w:r>
          </w:p>
        </w:tc>
        <w:tc>
          <w:tcPr>
            <w:tcW w:w="5528" w:type="dxa"/>
            <w:tcBorders/>
          </w:tcPr>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Слуховой аппарат аналоговый заушный мощный</w:t>
            </w:r>
          </w:p>
          <w:p>
            <w:pPr>
              <w:pStyle w:val="Normal"/>
              <w:widowControl w:val="false"/>
              <w:suppressAutoHyphens w:val="true"/>
              <w:spacing w:lineRule="auto" w:line="252"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(шифр\модель, страна происхождения)</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Максимальный ВУЗД 90 слуховых аппаратов  должен быть не менее 129 дБ не более 136 дБ.</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Максимальное усиление должно быть  не менее  56 дБ не более 70 дБ.</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Диапазон частот   не более 0,2 кГц не менее 4,7 кГц,</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Должны иметь следующие дополнительные параметры:</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телефонная катушка - наличие,</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неоперативный регулятор выходного уровня - наличие,</w:t>
            </w:r>
          </w:p>
          <w:p>
            <w:pPr>
              <w:pStyle w:val="Normal"/>
              <w:keepNext w:val="true"/>
              <w:widowControl w:val="false"/>
              <w:tabs>
                <w:tab w:val="clear" w:pos="709"/>
                <w:tab w:val="left" w:pos="-800" w:leader="none"/>
              </w:tabs>
              <w:suppressAutoHyphens w:val="true"/>
              <w:spacing w:lineRule="auto" w:line="240" w:before="0" w:after="0"/>
              <w:ind w:right="-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переключатель - наличие</w:t>
            </w:r>
          </w:p>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Ушной вкладыш - стандартный.</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791" w:type="dxa"/>
            <w:gridSpan w:val="2"/>
            <w:tcBorders/>
          </w:tcPr>
          <w:p>
            <w:pPr>
              <w:pStyle w:val="Normal"/>
              <w:widowControl w:val="false"/>
              <w:suppressAutoHyphens w:val="true"/>
              <w:spacing w:lineRule="auto" w:line="240" w:before="0" w:after="0"/>
              <w:jc w:val="left"/>
              <w:rPr>
                <w:rFonts w:ascii="Times New Roman" w:hAnsi="Times New Roman" w:cs="Times New Roman"/>
                <w:color w:val="000000" w:themeColor="text1"/>
              </w:rPr>
            </w:pPr>
            <w:r>
              <w:rPr>
                <w:rFonts w:eastAsia="Calibri" w:cs="Times New Roman" w:ascii="Times New Roman" w:hAnsi="Times New Roman"/>
                <w:color w:val="000000" w:themeColor="text1"/>
                <w:kern w:val="0"/>
                <w:sz w:val="22"/>
                <w:szCs w:val="22"/>
                <w:lang w:val="ru-RU" w:eastAsia="en-US" w:bidi="ar-SA"/>
              </w:rPr>
              <w:t>ИТОГО:</w:t>
            </w:r>
          </w:p>
        </w:tc>
        <w:tc>
          <w:tcPr>
            <w:tcW w:w="1553"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t>226</w:t>
            </w:r>
          </w:p>
        </w:tc>
      </w:tr>
    </w:tbl>
    <w:p>
      <w:pPr>
        <w:pStyle w:val="Normal"/>
        <w:tabs>
          <w:tab w:val="clear" w:pos="709"/>
          <w:tab w:val="left" w:pos="0" w:leader="none"/>
          <w:tab w:val="left" w:pos="426" w:leader="none"/>
        </w:tabs>
        <w:spacing w:lineRule="auto" w:line="240" w:before="0" w:after="160"/>
        <w:ind w:firstLine="1080"/>
        <w:contextualSpacing/>
        <w:jc w:val="both"/>
        <w:rPr>
          <w:rFonts w:ascii="Times New Roman" w:hAnsi="Times New Roman" w:eastAsia="Calibri" w:cs="Times New Roman"/>
          <w:color w:val="000000" w:themeColor="text1"/>
          <w:sz w:val="24"/>
          <w:szCs w:val="24"/>
          <w:shd w:fill="FFFFFF" w:val="clear"/>
        </w:rPr>
      </w:pPr>
      <w:r>
        <w:rPr>
          <w:rFonts w:eastAsia="Calibri" w:cs="Times New Roman" w:ascii="Times New Roman" w:hAnsi="Times New Roman"/>
          <w:color w:val="000000" w:themeColor="text1"/>
          <w:sz w:val="24"/>
          <w:szCs w:val="24"/>
          <w:shd w:fill="FFFFFF" w:val="clear"/>
        </w:rPr>
      </w:r>
    </w:p>
    <w:p>
      <w:pPr>
        <w:pStyle w:val="Normal"/>
        <w:tabs>
          <w:tab w:val="clear" w:pos="709"/>
          <w:tab w:val="left" w:pos="0" w:leader="none"/>
          <w:tab w:val="left" w:pos="426" w:leader="none"/>
        </w:tabs>
        <w:spacing w:lineRule="auto" w:line="240" w:before="0" w:after="160"/>
        <w:ind w:firstLine="1080"/>
        <w:contextualSpacing/>
        <w:jc w:val="both"/>
        <w:rPr>
          <w:rFonts w:ascii="Times New Roman" w:hAnsi="Times New Roman" w:eastAsia="Calibri" w:cs="Times New Roman"/>
          <w:sz w:val="24"/>
          <w:szCs w:val="24"/>
        </w:rPr>
      </w:pPr>
      <w:r>
        <w:rPr>
          <w:rFonts w:eastAsia="Calibri" w:cs="Times New Roman" w:ascii="Times New Roman" w:hAnsi="Times New Roman"/>
          <w:color w:val="000000" w:themeColor="text1"/>
          <w:sz w:val="24"/>
          <w:szCs w:val="24"/>
          <w:shd w:fill="FFFFFF" w:val="clear"/>
        </w:rPr>
        <w:t xml:space="preserve">Закупка услуг по обеспечению слуховыми аппаратами различных </w:t>
      </w:r>
      <w:r>
        <w:rPr>
          <w:rFonts w:eastAsia="Calibri" w:cs="Times New Roman" w:ascii="Times New Roman" w:hAnsi="Times New Roman"/>
          <w:sz w:val="24"/>
          <w:szCs w:val="24"/>
          <w:shd w:fill="FFFFFF" w:val="clear"/>
        </w:rPr>
        <w:t xml:space="preserve">модификаций </w:t>
      </w:r>
      <w:r>
        <w:rPr>
          <w:rFonts w:eastAsia="Calibri" w:cs="Times New Roman" w:ascii="Times New Roman" w:hAnsi="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Normal"/>
        <w:widowControl w:val="false"/>
        <w:numPr>
          <w:ilvl w:val="0"/>
          <w:numId w:val="1"/>
        </w:numPr>
        <w:tabs>
          <w:tab w:val="clear" w:pos="709"/>
          <w:tab w:val="left" w:pos="0" w:leader="none"/>
          <w:tab w:val="left" w:pos="426" w:leader="none"/>
        </w:tabs>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Объект закупки</w:t>
      </w:r>
      <w:r>
        <w:rPr>
          <w:rFonts w:eastAsia="Calibri" w:cs="Times New Roman" w:ascii="Times New Roman" w:hAnsi="Times New Roman"/>
          <w:b/>
          <w:sz w:val="24"/>
          <w:szCs w:val="24"/>
        </w:rPr>
        <w:t xml:space="preserve">, </w:t>
      </w:r>
      <w:r>
        <w:rPr>
          <w:rFonts w:eastAsia="Times New Roman" w:cs="Times New Roman" w:ascii="Times New Roman" w:hAnsi="Times New Roman"/>
          <w:b/>
          <w:sz w:val="24"/>
          <w:szCs w:val="24"/>
          <w:lang w:eastAsia="ru-RU"/>
        </w:rPr>
        <w:t xml:space="preserve">объем услуг, место оказания услуг, требования к результату оказываемых услуг. </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Объектом закупки является оказание услуг по обеспечению (далее - Получатели) слуховыми аппаратами различных модификаций (далее – Издели</w:t>
      </w:r>
      <w:r>
        <w:rPr>
          <w:rFonts w:eastAsia="Times New Roman" w:cs="Times New Roman" w:ascii="Times New Roman" w:hAnsi="Times New Roman"/>
          <w:b/>
          <w:sz w:val="24"/>
          <w:szCs w:val="24"/>
          <w:lang w:eastAsia="ru-RU"/>
        </w:rPr>
        <w:t>я</w:t>
      </w:r>
      <w:r>
        <w:rPr>
          <w:rFonts w:eastAsia="Times New Roman" w:cs="Times New Roman" w:ascii="Times New Roman" w:hAnsi="Times New Roman"/>
          <w:sz w:val="24"/>
          <w:szCs w:val="24"/>
          <w:lang w:eastAsia="ru-RU"/>
        </w:rPr>
        <w:t xml:space="preserve">). </w:t>
      </w:r>
    </w:p>
    <w:p>
      <w:pPr>
        <w:pStyle w:val="Normal"/>
        <w:tabs>
          <w:tab w:val="clear" w:pos="709"/>
          <w:tab w:val="left" w:pos="729"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оказания услуг: Российская Федерация, Севастополь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 г. Севастополе.</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Услуги по обеспечению слуховыми аппаратами различных модификаций включают себя: </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проведение осмотра (сбор анамнеза и жалоб, визуальное исследование, отоскопия) врачом сурдологом – оториноларингологом;</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настройку слухового аппарата;</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осуществление технического обслуживания и ремонта слухового аппарата;</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оформление медицинской документации в соответствии с требованиями действующего законодательства. </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Результатом оказания услуг является обеспечение Получателей слуховыми аппаратами,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pPr>
        <w:pStyle w:val="Normal"/>
        <w:tabs>
          <w:tab w:val="clear" w:pos="709"/>
          <w:tab w:val="left" w:pos="0"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Исполнитель гарантирует, что Изделия, обеспечение которыми осуществляется в рамках настоящего контракта:</w:t>
      </w:r>
    </w:p>
    <w:p>
      <w:pPr>
        <w:pStyle w:val="Normal"/>
        <w:tabs>
          <w:tab w:val="clear" w:pos="709"/>
          <w:tab w:val="left" w:pos="0"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соответствуют требованиям, предъявляемым действующим законодательством к безопасности;</w:t>
      </w:r>
    </w:p>
    <w:p>
      <w:pPr>
        <w:pStyle w:val="Normal"/>
        <w:tabs>
          <w:tab w:val="clear" w:pos="709"/>
          <w:tab w:val="left" w:pos="0"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pPr>
        <w:pStyle w:val="Normal"/>
        <w:tabs>
          <w:tab w:val="clear" w:pos="709"/>
          <w:tab w:val="left" w:pos="0"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Pr>
          <w:rFonts w:eastAsia="Calibri" w:cs="Times New Roman" w:ascii="Times New Roman" w:hAnsi="Times New Roman"/>
          <w:sz w:val="24"/>
          <w:szCs w:val="24"/>
          <w:lang w:eastAsia="ru-RU"/>
        </w:rPr>
        <w:t>, в соответствии с требованиями Федерального</w:t>
      </w:r>
      <w:r>
        <w:rPr>
          <w:rFonts w:eastAsia="Times New Roman" w:cs="Times New Roman" w:ascii="Times New Roman" w:hAnsi="Times New Roman"/>
          <w:sz w:val="24"/>
          <w:szCs w:val="24"/>
          <w:lang w:eastAsia="ru-RU"/>
        </w:rPr>
        <w:t xml:space="preserve"> закона от 21.11.2011 N 323-ФЗ "Об основах охраны здоровья граждан в Российской Федерации».</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являются новыми, свободными от прав третьих лиц.</w:t>
      </w:r>
    </w:p>
    <w:p>
      <w:pPr>
        <w:pStyle w:val="Normal"/>
        <w:widowControl w:val="false"/>
        <w:numPr>
          <w:ilvl w:val="0"/>
          <w:numId w:val="2"/>
        </w:numPr>
        <w:spacing w:lineRule="auto" w:line="240"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Требования, предъявляемые к содержанию и качеству услуг. </w:t>
      </w:r>
    </w:p>
    <w:p>
      <w:pPr>
        <w:pStyle w:val="Normal"/>
        <w:widowControl w:val="false"/>
        <w:tabs>
          <w:tab w:val="clear" w:pos="709"/>
          <w:tab w:val="left" w:pos="0" w:leader="none"/>
          <w:tab w:val="left" w:pos="426" w:leader="none"/>
        </w:tabs>
        <w:spacing w:lineRule="auto" w:line="24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Исполнитель при оказании услуг обеспечивает:</w:t>
      </w:r>
    </w:p>
    <w:p>
      <w:pPr>
        <w:pStyle w:val="Normal"/>
        <w:spacing w:lineRule="auto" w:line="240"/>
        <w:ind w:left="28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прием и регистрацию получателей;</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прием необходимых документов у Получателя для выдачи слухового аппарата;</w:t>
      </w:r>
    </w:p>
    <w:p>
      <w:pPr>
        <w:pStyle w:val="Normal"/>
        <w:spacing w:lineRule="auto" w:line="240"/>
        <w:ind w:left="142" w:hanging="14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проведение осмотра (сбор анамнеза и жалоб, визуальное исследование, отоскопия) врачом сурдологом - оториноларингологом; </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подбор слухового аппарата; </w:t>
      </w:r>
    </w:p>
    <w:p>
      <w:pPr>
        <w:pStyle w:val="Normal"/>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настройку слухового аппарата;</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обучение Получателей пользованию слуховым аппаратом;</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разъяснение порядка обеспечения слуховым аппаратом;</w:t>
      </w:r>
    </w:p>
    <w:p>
      <w:pPr>
        <w:pStyle w:val="Normal"/>
        <w:tabs>
          <w:tab w:val="clear" w:pos="709"/>
          <w:tab w:val="left" w:pos="0" w:leader="none"/>
          <w:tab w:val="left" w:pos="993" w:leader="none"/>
        </w:tabs>
        <w:spacing w:lineRule="auto" w:line="240"/>
        <w:ind w:left="927" w:hanging="9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выдачу слухового аппарата с учетом индивидуального подбора;</w:t>
      </w:r>
    </w:p>
    <w:p>
      <w:pPr>
        <w:pStyle w:val="Normal"/>
        <w:spacing w:lineRule="auto" w:line="240"/>
        <w:ind w:left="142" w:hanging="14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оформление медицинской документации, в соответствии с требованиями действующего законодательства.</w:t>
      </w:r>
    </w:p>
    <w:p>
      <w:pPr>
        <w:pStyle w:val="Normal"/>
        <w:spacing w:lineRule="auto" w:line="240"/>
        <w:ind w:left="142" w:hanging="14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pPr>
        <w:pStyle w:val="Normal"/>
        <w:tabs>
          <w:tab w:val="clear" w:pos="709"/>
          <w:tab w:val="left" w:pos="0" w:leader="none"/>
        </w:tabs>
        <w:spacing w:lineRule="auto" w:line="240" w:before="0" w:after="160"/>
        <w:ind w:left="927" w:hanging="927"/>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осуществление технического обслуживания и ремонта слухового аппарата. </w:t>
      </w:r>
    </w:p>
    <w:p>
      <w:pPr>
        <w:pStyle w:val="Normal"/>
        <w:spacing w:lineRule="auto" w:line="24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Услуги по обеспечению слуховым аппаратом оказываются </w:t>
      </w:r>
      <w:r>
        <w:rPr>
          <w:rFonts w:eastAsia="font300" w:cs="Times New Roman" w:ascii="Times New Roman" w:hAnsi="Times New Roman"/>
          <w:kern w:val="2"/>
          <w:sz w:val="24"/>
          <w:szCs w:val="24"/>
          <w:lang w:eastAsia="ru-RU"/>
        </w:rPr>
        <w:t xml:space="preserve">в день обращения Получателя с Направлением Заказчика по месту нахождения Исполнителя, Соисполнителя </w:t>
      </w:r>
      <w:r>
        <w:rPr>
          <w:rFonts w:eastAsia="Times New Roman" w:cs="Times New Roman" w:ascii="Times New Roman" w:hAnsi="Times New Roman"/>
          <w:sz w:val="24"/>
          <w:szCs w:val="24"/>
          <w:lang w:eastAsia="ru-RU"/>
        </w:rPr>
        <w:t xml:space="preserve">или иному адресу места осуществления Исполнителем, Соисполнителем лицензируемого вида деятельности </w:t>
      </w:r>
      <w:r>
        <w:rPr>
          <w:rFonts w:eastAsia="Times New Roman" w:cs="Times New Roman" w:ascii="Times New Roman" w:hAnsi="Times New Roman"/>
          <w:color w:val="000000" w:themeColor="text1"/>
          <w:sz w:val="24"/>
          <w:szCs w:val="24"/>
          <w:lang w:eastAsia="ru-RU"/>
        </w:rPr>
        <w:t>в г. Севастополе</w:t>
      </w:r>
      <w:r>
        <w:rPr>
          <w:rFonts w:eastAsia="font300" w:cs="Times New Roman" w:ascii="Times New Roman" w:hAnsi="Times New Roman"/>
          <w:kern w:val="2"/>
          <w:sz w:val="24"/>
          <w:szCs w:val="24"/>
          <w:lang w:eastAsia="ru-RU"/>
        </w:rPr>
        <w:t xml:space="preserve"> </w:t>
      </w:r>
      <w:r>
        <w:rPr>
          <w:rFonts w:eastAsia="Times New Roman" w:cs="Times New Roman" w:ascii="Times New Roman" w:hAnsi="Times New Roman"/>
          <w:sz w:val="24"/>
          <w:szCs w:val="24"/>
          <w:lang w:eastAsia="ru-RU"/>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 Получателе.</w:t>
      </w:r>
    </w:p>
    <w:p>
      <w:pPr>
        <w:pStyle w:val="Normal"/>
        <w:numPr>
          <w:ilvl w:val="0"/>
          <w:numId w:val="2"/>
        </w:numPr>
        <w:spacing w:lineRule="auto" w:line="240" w:before="0" w:after="0"/>
        <w:ind w:left="567" w:hanging="567"/>
        <w:contextualSpacing/>
        <w:jc w:val="both"/>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pPr>
        <w:pStyle w:val="Normal"/>
        <w:tabs>
          <w:tab w:val="clear" w:pos="709"/>
          <w:tab w:val="left" w:pos="0" w:leader="none"/>
          <w:tab w:val="left" w:pos="426" w:leader="none"/>
        </w:tabs>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Слуховой аппарат – электронный прибор, предназначенный для звукоусиления по воздушному или костному звукопроведению.</w:t>
      </w:r>
    </w:p>
    <w:p>
      <w:pPr>
        <w:pStyle w:val="Normal"/>
        <w:tabs>
          <w:tab w:val="clear" w:pos="709"/>
          <w:tab w:val="left" w:pos="0" w:leader="none"/>
          <w:tab w:val="left" w:pos="426" w:leader="none"/>
        </w:tabs>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w:t>
      </w:r>
      <w:r>
        <w:rPr>
          <w:rFonts w:cs="Times New Roman" w:ascii="Times New Roman" w:hAnsi="Times New Roman"/>
          <w:sz w:val="24"/>
          <w:szCs w:val="24"/>
        </w:rPr>
        <w:t>ГОСТ Р 51632-2021</w:t>
      </w:r>
      <w:r>
        <w:rPr>
          <w:rFonts w:eastAsia="Times New Roman" w:cs="Times New Roman" w:ascii="Times New Roman" w:hAnsi="Times New Roman"/>
          <w:sz w:val="24"/>
          <w:szCs w:val="24"/>
          <w:lang w:eastAsia="ru-RU"/>
        </w:rPr>
        <w:t xml:space="preserve">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50444-2020 (разделы 3,4) «Межгосударственный стандарт. Приборы, аппараты и оборудование медицинские», ГОСТ Р МЭК 60118-14-2003 «Аппараты слуховые программируемые».</w:t>
      </w:r>
    </w:p>
    <w:p>
      <w:pPr>
        <w:pStyle w:val="Normal"/>
        <w:numPr>
          <w:ilvl w:val="0"/>
          <w:numId w:val="2"/>
        </w:numPr>
        <w:spacing w:lineRule="auto" w:line="240" w:before="0" w:after="0"/>
        <w:ind w:left="567" w:hanging="567"/>
        <w:contextualSpacing/>
        <w:jc w:val="both"/>
        <w:rPr>
          <w:rFonts w:ascii="Times New Roman" w:hAnsi="Times New Roman" w:eastAsia="Calibri" w:cs="Times New Roman"/>
          <w:b/>
          <w:b/>
          <w:sz w:val="24"/>
          <w:szCs w:val="24"/>
          <w:lang w:val="x-none" w:eastAsia="x-none"/>
        </w:rPr>
      </w:pPr>
      <w:r>
        <w:rPr>
          <w:rFonts w:eastAsia="Calibri" w:cs="Times New Roman" w:ascii="Times New Roman" w:hAnsi="Times New Roman"/>
          <w:b/>
          <w:sz w:val="24"/>
          <w:szCs w:val="24"/>
          <w:lang w:val="x-none" w:eastAsia="x-none"/>
        </w:rPr>
        <w:t>Требования к упаковке слуховых аппаратов</w:t>
      </w:r>
      <w:r>
        <w:rPr>
          <w:rFonts w:eastAsia="Calibri" w:cs="Times New Roman" w:ascii="Times New Roman" w:hAnsi="Times New Roman"/>
          <w:b/>
          <w:sz w:val="24"/>
          <w:szCs w:val="24"/>
          <w:lang w:eastAsia="x-none"/>
        </w:rPr>
        <w:t>.</w:t>
      </w:r>
    </w:p>
    <w:p>
      <w:pPr>
        <w:pStyle w:val="Normal"/>
        <w:tabs>
          <w:tab w:val="clear" w:pos="709"/>
          <w:tab w:val="left" w:pos="0"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Упаковка слуховых аппаратов осуществляется в соответствии с требованиями </w:t>
      </w:r>
      <w:hyperlink r:id="rId2">
        <w:r>
          <w:rPr>
            <w:rFonts w:eastAsia="Times New Roman" w:cs="Times New Roman" w:ascii="Times New Roman" w:hAnsi="Times New Roman"/>
            <w:sz w:val="24"/>
            <w:szCs w:val="24"/>
            <w:lang w:eastAsia="ru-RU"/>
          </w:rPr>
          <w:t>ГОСТ Р 50444</w:t>
        </w:r>
      </w:hyperlink>
      <w:r>
        <w:rPr>
          <w:rFonts w:eastAsia="Times New Roman" w:cs="Times New Roman" w:ascii="Times New Roman" w:hAnsi="Times New Roman"/>
          <w:sz w:val="24"/>
          <w:szCs w:val="24"/>
          <w:lang w:eastAsia="ru-RU"/>
        </w:rPr>
        <w:t xml:space="preserve">-2020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pPr>
        <w:pStyle w:val="Normal"/>
        <w:numPr>
          <w:ilvl w:val="0"/>
          <w:numId w:val="2"/>
        </w:numPr>
        <w:spacing w:lineRule="auto" w:line="240" w:before="0" w:after="0"/>
        <w:ind w:left="567" w:hanging="567"/>
        <w:contextualSpacing/>
        <w:jc w:val="both"/>
        <w:rPr>
          <w:rFonts w:ascii="Times New Roman" w:hAnsi="Times New Roman" w:eastAsia="Calibri" w:cs="Times New Roman"/>
          <w:sz w:val="24"/>
          <w:szCs w:val="24"/>
        </w:rPr>
      </w:pPr>
      <w:r>
        <w:rPr>
          <w:rFonts w:eastAsia="Calibri" w:cs="Times New Roman" w:ascii="Times New Roman" w:hAnsi="Times New Roman"/>
          <w:b/>
          <w:sz w:val="24"/>
          <w:szCs w:val="24"/>
        </w:rPr>
        <w:t>Требования к транспортировке слуховых аппаратов.</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Транспортная маркировка слуховых аппаратов осуществляется в соответствии с требованиями </w:t>
      </w:r>
      <w:hyperlink r:id="rId3">
        <w:r>
          <w:rPr>
            <w:rFonts w:eastAsia="Times New Roman" w:cs="Times New Roman" w:ascii="Times New Roman" w:hAnsi="Times New Roman"/>
            <w:sz w:val="24"/>
            <w:szCs w:val="24"/>
            <w:lang w:eastAsia="ru-RU"/>
          </w:rPr>
          <w:t>ГОСТ Р 50444</w:t>
        </w:r>
      </w:hyperlink>
      <w:r>
        <w:rPr>
          <w:rFonts w:eastAsia="Times New Roman" w:cs="Times New Roman" w:ascii="Times New Roman" w:hAnsi="Times New Roman"/>
          <w:sz w:val="24"/>
          <w:szCs w:val="24"/>
          <w:lang w:eastAsia="ru-RU"/>
        </w:rPr>
        <w:t>-2020 «Межгосударственный стандарт. Приборы, аппараты и оборудование медицинские». Транспортирование слуховых аппаратов должно проводиться по группе 5 ГОСТ 15150-69</w:t>
      </w:r>
      <w:r>
        <w:rPr>
          <w:rFonts w:eastAsia="Times New Roman" w:cs="Times New Roman" w:ascii="Times New Roman" w:hAnsi="Times New Roman"/>
          <w:sz w:val="24"/>
          <w:szCs w:val="24"/>
          <w:shd w:fill="F6F6F6" w:val="clear"/>
          <w:lang w:eastAsia="ru-RU"/>
        </w:rPr>
        <w:t xml:space="preserve"> «</w:t>
      </w:r>
      <w:r>
        <w:rPr>
          <w:rFonts w:eastAsia="Times New Roman" w:cs="Times New Roman" w:ascii="Times New Roman" w:hAnsi="Times New Roman"/>
          <w:sz w:val="24"/>
          <w:szCs w:val="24"/>
          <w:lang w:eastAsia="ru-RU"/>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pPr>
        <w:pStyle w:val="Normal"/>
        <w:numPr>
          <w:ilvl w:val="0"/>
          <w:numId w:val="2"/>
        </w:numPr>
        <w:spacing w:lineRule="auto" w:line="240" w:before="0" w:after="0"/>
        <w:ind w:left="567" w:hanging="425"/>
        <w:contextualSpacing/>
        <w:jc w:val="both"/>
        <w:rPr>
          <w:rFonts w:ascii="Times New Roman" w:hAnsi="Times New Roman" w:eastAsia="Calibri" w:cs="Times New Roman"/>
          <w:sz w:val="24"/>
          <w:szCs w:val="24"/>
        </w:rPr>
      </w:pPr>
      <w:r>
        <w:rPr>
          <w:rFonts w:eastAsia="Calibri" w:cs="Times New Roman" w:ascii="Times New Roman" w:hAnsi="Times New Roman"/>
          <w:b/>
          <w:sz w:val="24"/>
          <w:szCs w:val="24"/>
        </w:rPr>
        <w:t>Требования к маркировке и упаковке.</w:t>
      </w:r>
    </w:p>
    <w:p>
      <w:pPr>
        <w:pStyle w:val="Normal"/>
        <w:tabs>
          <w:tab w:val="clear" w:pos="709"/>
          <w:tab w:val="left" w:pos="0" w:leader="none"/>
          <w:tab w:val="left" w:pos="426" w:leader="none"/>
        </w:tabs>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Маркировка слуховых аппаратов осуществляется в соответствии с требованиями </w:t>
      </w:r>
      <w:hyperlink r:id="rId4">
        <w:r>
          <w:rPr>
            <w:rFonts w:eastAsia="Times New Roman" w:cs="Times New Roman" w:ascii="Times New Roman" w:hAnsi="Times New Roman"/>
            <w:sz w:val="24"/>
            <w:szCs w:val="24"/>
            <w:lang w:eastAsia="ru-RU"/>
          </w:rPr>
          <w:t>ГОСТ Р 50444</w:t>
        </w:r>
      </w:hyperlink>
      <w:r>
        <w:rPr>
          <w:rFonts w:eastAsia="Times New Roman" w:cs="Times New Roman" w:ascii="Times New Roman" w:hAnsi="Times New Roman"/>
          <w:sz w:val="24"/>
          <w:szCs w:val="24"/>
          <w:lang w:eastAsia="ru-RU"/>
        </w:rPr>
        <w:t>-2020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pPr>
        <w:pStyle w:val="Normal"/>
        <w:tabs>
          <w:tab w:val="clear" w:pos="709"/>
          <w:tab w:val="left" w:pos="0" w:leader="none"/>
          <w:tab w:val="left" w:pos="426" w:leader="none"/>
        </w:tabs>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Наличие у Исполнителя и (или) привлекаемого им Соисполнителя действующей лицензии на:</w:t>
      </w:r>
    </w:p>
    <w:p>
      <w:pPr>
        <w:pStyle w:val="Normal"/>
        <w:tabs>
          <w:tab w:val="clear" w:pos="709"/>
          <w:tab w:val="left" w:pos="0" w:leader="none"/>
          <w:tab w:val="left" w:pos="426" w:leader="none"/>
        </w:tabs>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 xml:space="preserve">а) </w:t>
      </w:r>
      <w:r>
        <w:rPr>
          <w:rFonts w:eastAsia="Times New Roman" w:cs="Times New Roman" w:ascii="Times New Roman" w:hAnsi="Times New Roman"/>
          <w:b w:val="false"/>
          <w:bCs w:val="false"/>
          <w:sz w:val="24"/>
          <w:szCs w:val="24"/>
          <w:lang w:eastAsia="ru-RU"/>
        </w:rPr>
        <w:t>медицинскую деятельность</w:t>
      </w:r>
      <w:r>
        <w:rPr>
          <w:rFonts w:eastAsia="Times New Roman" w:cs="Times New Roman" w:ascii="Times New Roman" w:hAnsi="Times New Roman"/>
          <w:sz w:val="24"/>
          <w:szCs w:val="24"/>
          <w:lang w:eastAsia="ru-RU"/>
        </w:rPr>
        <w:t xml:space="preserve"> при оказании первичной специализированной медико-санитарной помощи в амбулаторных условиях по виду работ (услуг) </w:t>
      </w:r>
      <w:r>
        <w:rPr>
          <w:rFonts w:eastAsia="Times New Roman" w:cs="Times New Roman" w:ascii="Times New Roman" w:hAnsi="Times New Roman"/>
          <w:b w:val="false"/>
          <w:bCs w:val="false"/>
          <w:sz w:val="24"/>
          <w:szCs w:val="24"/>
          <w:lang w:eastAsia="ru-RU"/>
        </w:rPr>
        <w:t>сурдология-оториноларингология</w:t>
      </w:r>
      <w:r>
        <w:rPr>
          <w:rFonts w:eastAsia="Times New Roman" w:cs="Times New Roman" w:ascii="Times New Roman" w:hAnsi="Times New Roman"/>
          <w:sz w:val="24"/>
          <w:szCs w:val="24"/>
          <w:lang w:eastAsia="ru-RU"/>
        </w:rPr>
        <w:t xml:space="preserve">  или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г. Севастополя</w:t>
      </w:r>
      <w:r>
        <w:rPr>
          <w:rFonts w:eastAsia="Times New Roman" w:cs="Times New Roman" w:ascii="Times New Roman" w:hAnsi="Times New Roman"/>
          <w:b/>
          <w:sz w:val="24"/>
          <w:szCs w:val="24"/>
          <w:lang w:eastAsia="ru-RU"/>
        </w:rPr>
        <w:t>,</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предоставленной лицензирующим органом в соответствии с пп.46 п.1 ст.12 Федерального закона от 04.05.2011 № 99-ФЗ (с учетом дополнений и изменений) «О лицензировании отдельных видов деятельности» и </w:t>
      </w:r>
      <w:r>
        <w:rPr>
          <w:rFonts w:eastAsia="Times New Roman" w:cs="Times New Roman" w:ascii="Times New Roman" w:hAnsi="Times New Roman"/>
          <w:b w:val="false"/>
          <w:bCs w:val="false"/>
          <w:sz w:val="24"/>
          <w:szCs w:val="24"/>
          <w:lang w:eastAsia="ru-RU"/>
        </w:rPr>
        <w:t>Положением о лицензировании медицинской деятельности</w:t>
      </w:r>
      <w:r>
        <w:rPr>
          <w:rFonts w:eastAsia="Times New Roman" w:cs="Times New Roman" w:ascii="Times New Roman" w:hAnsi="Times New Roman"/>
          <w:sz w:val="24"/>
          <w:szCs w:val="24"/>
          <w:lang w:eastAsia="ru-RU"/>
        </w:rPr>
        <w:t>, утвержденным постановлением Правительства Российской Федерации 01.06.2021 № 852, или наличие у участника документов в соответствии со статьей 12.2 Федерального конституционного закона от 21.03.2014 № 6</w:t>
      </w:r>
      <w:r>
        <w:rPr>
          <w:rFonts w:eastAsia="Times New Roman" w:cs="Times New Roman" w:ascii="Times New Roman" w:hAnsi="Times New Roman"/>
          <w:b/>
          <w:color w:val="FF0000"/>
          <w:sz w:val="24"/>
          <w:szCs w:val="24"/>
          <w:lang w:eastAsia="ru-RU"/>
        </w:rPr>
        <w:t>-</w:t>
      </w:r>
      <w:r>
        <w:rPr>
          <w:rFonts w:eastAsia="Times New Roman" w:cs="Times New Roman" w:ascii="Times New Roman" w:hAnsi="Times New Roman"/>
          <w:sz w:val="24"/>
          <w:szCs w:val="24"/>
          <w:lang w:eastAsia="ru-RU"/>
        </w:rPr>
        <w:t>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 207.</w:t>
      </w:r>
    </w:p>
    <w:p>
      <w:pPr>
        <w:pStyle w:val="Normal"/>
        <w:tabs>
          <w:tab w:val="clear" w:pos="709"/>
          <w:tab w:val="left" w:pos="0" w:leader="none"/>
          <w:tab w:val="left" w:pos="426" w:leader="none"/>
        </w:tabs>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sz w:val="24"/>
          <w:szCs w:val="24"/>
          <w:lang w:eastAsia="ru-RU"/>
        </w:rPr>
        <w:t xml:space="preserve">б) техническое обслуживание медицинских изделий с указанием адресов мест осуществления лицензируемого вида деятельности на территории </w:t>
      </w:r>
      <w:r>
        <w:rPr>
          <w:rFonts w:eastAsia="Times New Roman" w:cs="Times New Roman" w:ascii="Times New Roman" w:hAnsi="Times New Roman"/>
          <w:b w:val="false"/>
          <w:bCs w:val="false"/>
          <w:sz w:val="24"/>
          <w:szCs w:val="24"/>
          <w:lang w:eastAsia="ru-RU"/>
        </w:rPr>
        <w:t>Российской Федерации</w:t>
      </w:r>
      <w:r>
        <w:rPr>
          <w:rFonts w:eastAsia="Times New Roman" w:cs="Times New Roman" w:ascii="Times New Roman" w:hAnsi="Times New Roman"/>
          <w:b w:val="false"/>
          <w:bCs w:val="false"/>
          <w:sz w:val="24"/>
          <w:szCs w:val="24"/>
          <w:lang w:eastAsia="ru-RU"/>
        </w:rPr>
        <w:t xml:space="preserve"> (в соответствии с Федеральным законом от 04.05.2011 № 99-ФЗ «О лицензировании отдельных видов деятельности, в соответствии с постановлением Правительства Российской Федерации от 30.11.2021 № 2129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Федерации от 15 сентября 2020 г. № 1445 и признании утратившими силу отдельных актов Правительства Российской Федерации"</w:t>
      </w:r>
    </w:p>
    <w:p>
      <w:pPr>
        <w:pStyle w:val="Normal"/>
        <w:tabs>
          <w:tab w:val="clear" w:pos="709"/>
          <w:tab w:val="left" w:pos="0" w:leader="none"/>
          <w:tab w:val="left" w:pos="426" w:leader="none"/>
        </w:tabs>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Гарантийный срок эксплуатации слухового аппарата 24 (двадцать четыре) месяца</w:t>
      </w:r>
      <w:r>
        <w:rPr>
          <w:rFonts w:cs="Times New Roman" w:ascii="Times New Roman" w:hAnsi="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pPr>
        <w:pStyle w:val="Normal"/>
        <w:spacing w:before="0" w:after="160"/>
        <w:ind w:firstLine="567"/>
        <w:contextualSpacing/>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xml:space="preserve">При наступлении гарантийного случая </w:t>
      </w:r>
      <w:r>
        <w:rPr>
          <w:rFonts w:eastAsia="Calibri" w:cs="Times New Roman" w:ascii="Times New Roman" w:hAnsi="Times New Roman"/>
          <w:sz w:val="24"/>
          <w:szCs w:val="24"/>
        </w:rPr>
        <w:t xml:space="preserve">Исполнитель обязан предоставить Заказчику Акт (уведомление) о наступлении гарантийного случая, а также Акт выполнения обязательств по гарантии в течении 3 рабочих дней с момента наступления каждого случая, в течении срока действия гарантийных обязательств. При </w:t>
      </w:r>
      <w:r>
        <w:rPr>
          <w:rFonts w:eastAsia="Calibri" w:cs="Times New Roman" w:ascii="Times New Roman" w:hAnsi="Times New Roman"/>
          <w:color w:val="000000" w:themeColor="text1"/>
          <w:sz w:val="24"/>
          <w:szCs w:val="24"/>
        </w:rPr>
        <w:t>этом Заказчик и Получатель не несут расходов, связанных с осуществлением гарантийного ремонта.</w:t>
      </w:r>
    </w:p>
    <w:p>
      <w:pPr>
        <w:pStyle w:val="Normal"/>
        <w:tabs>
          <w:tab w:val="clear" w:pos="709"/>
          <w:tab w:val="left" w:pos="0" w:leader="none"/>
          <w:tab w:val="left" w:pos="426" w:leader="none"/>
        </w:tabs>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на территории г. Севастополя. Ремонт Изделий осуществляется в месте оказания услуг или в сервисных центрах Исполнителя (Соисполнителя), находящихся вне места оказания услуг на территории Российской Федерации.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pPr>
        <w:pStyle w:val="Normal"/>
        <w:tabs>
          <w:tab w:val="clear" w:pos="709"/>
          <w:tab w:val="left" w:pos="0" w:leader="none"/>
          <w:tab w:val="left" w:pos="426" w:leader="none"/>
        </w:tabs>
        <w:spacing w:lineRule="auto" w:line="240" w:before="0" w:after="0"/>
        <w:ind w:firstLine="567"/>
        <w:jc w:val="both"/>
        <w:rPr>
          <w:rFonts w:ascii="Times New Roman" w:hAnsi="Times New Roman" w:cs="Times New Roman"/>
          <w:sz w:val="24"/>
          <w:szCs w:val="24"/>
        </w:rPr>
      </w:pPr>
      <w:bookmarkStart w:id="0" w:name="_GoBack"/>
      <w:r>
        <w:rPr>
          <w:rFonts w:cs="Times New Roman" w:ascii="Times New Roman" w:hAnsi="Times New Roman"/>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bookmarkEnd w:id="0"/>
    </w:p>
    <w:p>
      <w:pPr>
        <w:pStyle w:val="Normal"/>
        <w:spacing w:before="0" w:after="160"/>
        <w:ind w:left="-15" w:firstLine="699"/>
        <w:jc w:val="center"/>
        <w:rPr>
          <w:rFonts w:ascii="Times New Roman" w:hAnsi="Times New Roman" w:eastAsia="Calibri" w:cs="Times New Roman"/>
          <w:b/>
          <w:b/>
          <w:color w:val="000000"/>
          <w:sz w:val="24"/>
          <w:szCs w:val="24"/>
        </w:rPr>
      </w:pPr>
      <w:r>
        <w:rPr/>
      </w:r>
    </w:p>
    <w:sectPr>
      <w:type w:val="nextPage"/>
      <w:pgSz w:w="11906" w:h="16838"/>
      <w:pgMar w:left="1701" w:right="1077" w:gutter="0" w:header="0" w:top="851"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qFormat/>
    <w:rsid w:val="001547a3"/>
    <w:rPr>
      <w:rFonts w:ascii="Times New Roman" w:hAnsi="Times New Roman" w:eastAsia="Times New Roman" w:cs="Times New Roman"/>
      <w:b/>
      <w:sz w:val="26"/>
      <w:szCs w:val="20"/>
      <w:lang w:eastAsia="ru-RU"/>
    </w:rPr>
  </w:style>
  <w:style w:type="character" w:styleId="Style15">
    <w:name w:val="Hyperlink"/>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link w:val="Style14"/>
    <w:qFormat/>
    <w:rsid w:val="001547a3"/>
    <w:pPr>
      <w:spacing w:lineRule="auto" w:line="240" w:before="0" w:after="0"/>
      <w:jc w:val="center"/>
    </w:pPr>
    <w:rPr>
      <w:rFonts w:ascii="Times New Roman" w:hAnsi="Times New Roman" w:eastAsia="Times New Roman" w:cs="Times New Roman"/>
      <w:b/>
      <w:sz w:val="26"/>
      <w:szCs w:val="20"/>
      <w:lang w:eastAsia="ru-RU"/>
    </w:rPr>
  </w:style>
  <w:style w:type="paragraph" w:styleId="ListParagraph">
    <w:name w:val="List Paragraph"/>
    <w:basedOn w:val="Normal"/>
    <w:uiPriority w:val="34"/>
    <w:qFormat/>
    <w:rsid w:val="001547a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1923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1200022377" TargetMode="External"/><Relationship Id="rId3" Type="http://schemas.openxmlformats.org/officeDocument/2006/relationships/hyperlink" Target="http://docs.cntd.ru/document/1200022377" TargetMode="External"/><Relationship Id="rId4" Type="http://schemas.openxmlformats.org/officeDocument/2006/relationships/hyperlink" Target="http://docs.cntd.ru/document/120002237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65</TotalTime>
  <Application>LibreOffice/7.4.0.3$Windows_X86_64 LibreOffice_project/f85e47c08ddd19c015c0114a68350214f7066f5a</Application>
  <AppVersion>15.0000</AppVersion>
  <Pages>8</Pages>
  <Words>2375</Words>
  <Characters>17057</Characters>
  <CharactersWithSpaces>19287</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2022-11-08T13:42:00Z</dcterms:created>
  <dc:creator>Евсеева Ольга Петровна</dc:creator>
  <dc:description/>
  <dc:language>ru-RU</dc:language>
  <cp:lastModifiedBy/>
  <dcterms:modified xsi:type="dcterms:W3CDTF">2024-01-29T14:14:58Z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