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6" w:rsidRDefault="007D6176" w:rsidP="007D6176">
      <w:pPr>
        <w:pageBreakBefore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7D6176" w:rsidRDefault="007D6176" w:rsidP="007D6176">
      <w:pPr>
        <w:autoSpaceDE w:val="0"/>
        <w:ind w:firstLine="709"/>
        <w:jc w:val="center"/>
        <w:rPr>
          <w:b/>
          <w:bCs/>
        </w:rPr>
      </w:pPr>
    </w:p>
    <w:p w:rsidR="007D6176" w:rsidRDefault="007D6176" w:rsidP="007D6176">
      <w:pPr>
        <w:pStyle w:val="31"/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1. </w:t>
      </w:r>
      <w:proofErr w:type="gramStart"/>
      <w:r>
        <w:rPr>
          <w:sz w:val="24"/>
          <w:szCs w:val="24"/>
        </w:rPr>
        <w:t>Услуги по предоставлению санаторно-курортного лечения граждан, получающим набор социальных услуг в 2023 году за счет средств федерального бюджета,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7D6176" w:rsidRDefault="007D6176" w:rsidP="007D6176">
      <w:pPr>
        <w:widowControl w:val="0"/>
        <w:tabs>
          <w:tab w:val="left" w:pos="-1380"/>
        </w:tabs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стандарт санаторно-курортной помощи больным с ишемической болезнью сердца: стенокардией, хронической ИБС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№221 от 22.11.2004);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- стандарт санаторно-курортной помощи больным с болезнями вен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№211 от 22.11.2004);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- стандарт санаторно-курортной помощи больным с болезнями, характеризующимися повышенным кровяным давлением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№222 от 22.11.2004);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kern w:val="2"/>
          <w:sz w:val="26"/>
          <w:szCs w:val="26"/>
          <w:lang w:eastAsia="hi-IN" w:bidi="hi-IN"/>
        </w:rPr>
        <w:t>- с</w:t>
      </w: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тандарт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полиневропатиями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и другими поражениями периферической нервной системы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№214 от 22.11.2004);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№217 от 22.11.2004);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соматоформными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расстройствами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№273 от 23.11.04);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- стандарт санаторно-курортной помощи больным с цереброваскулярными болезнями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№276 от 23.11.2004);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kern w:val="2"/>
          <w:sz w:val="26"/>
          <w:szCs w:val="26"/>
          <w:lang w:eastAsia="hi-IN" w:bidi="hi-IN"/>
        </w:rPr>
        <w:t>- с</w:t>
      </w: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тандарт санаторно-курортной помощи больным с болезнями органов дыхания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№212 от 22.11.2004);</w:t>
      </w:r>
    </w:p>
    <w:p w:rsidR="007D6176" w:rsidRDefault="007D6176" w:rsidP="007D6176">
      <w:pPr>
        <w:widowControl w:val="0"/>
        <w:snapToGrid w:val="0"/>
        <w:spacing w:line="100" w:lineRule="atLeast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дорсопатии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,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спондилопатии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, болезни мягких тканей,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остеопатии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и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хондропатии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)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№208 от 22.11.2004);</w:t>
      </w:r>
    </w:p>
    <w:p w:rsidR="007D6176" w:rsidRDefault="007D6176" w:rsidP="007D6176">
      <w:pPr>
        <w:widowControl w:val="0"/>
        <w:snapToGrid w:val="0"/>
        <w:spacing w:line="100" w:lineRule="atLeast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артропатии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, инфекционные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артропатии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, воспалительные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артропатии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, артрозы, другие поражения суставов)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№227 от 22.11.2004);</w:t>
      </w:r>
    </w:p>
    <w:p w:rsidR="007D6176" w:rsidRDefault="007D6176" w:rsidP="007D6176">
      <w:pPr>
        <w:widowControl w:val="0"/>
        <w:snapToGrid w:val="0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>- стандарт санаторно-курортной помощи больным с</w:t>
      </w:r>
      <w:r>
        <w:rPr>
          <w:rFonts w:eastAsia="Lucida Sans Unicode"/>
          <w:kern w:val="2"/>
          <w:sz w:val="26"/>
          <w:szCs w:val="26"/>
          <w:lang w:eastAsia="hi-IN" w:bidi="hi-IN"/>
        </w:rPr>
        <w:t xml:space="preserve"> ожирением и другими видами избыточности питания, нарушением обмена липопротеинов и другими </w:t>
      </w:r>
      <w:proofErr w:type="spellStart"/>
      <w:r>
        <w:rPr>
          <w:rFonts w:eastAsia="Lucida Sans Unicode"/>
          <w:kern w:val="2"/>
          <w:sz w:val="26"/>
          <w:szCs w:val="26"/>
          <w:lang w:eastAsia="hi-IN" w:bidi="hi-IN"/>
        </w:rPr>
        <w:t>липидемиями</w:t>
      </w:r>
      <w:proofErr w:type="spellEnd"/>
      <w:r>
        <w:rPr>
          <w:rFonts w:eastAsia="Lucida Sans Unicode"/>
          <w:kern w:val="2"/>
          <w:sz w:val="26"/>
          <w:szCs w:val="26"/>
          <w:lang w:eastAsia="hi-IN" w:bidi="hi-IN"/>
        </w:rPr>
        <w:t>.</w:t>
      </w: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№223 от 22.11.2004);</w:t>
      </w:r>
    </w:p>
    <w:p w:rsidR="007D6176" w:rsidRDefault="007D6176" w:rsidP="007D6176">
      <w:pPr>
        <w:widowControl w:val="0"/>
        <w:snapToGrid w:val="0"/>
        <w:ind w:firstLine="709"/>
        <w:jc w:val="both"/>
        <w:rPr>
          <w:rFonts w:eastAsia="Lucida Sans Unicode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>- с</w:t>
      </w:r>
      <w:r>
        <w:rPr>
          <w:rFonts w:eastAsia="Lucida Sans Unicode"/>
          <w:bCs/>
          <w:color w:val="000000"/>
          <w:kern w:val="2"/>
          <w:sz w:val="26"/>
          <w:szCs w:val="26"/>
          <w:lang w:eastAsia="hi-IN" w:bidi="hi-IN"/>
        </w:rPr>
        <w:t xml:space="preserve">тандарт санаторно-курортной помощи больным сахарным диабетом (Приказ </w:t>
      </w:r>
      <w:proofErr w:type="spellStart"/>
      <w:r>
        <w:rPr>
          <w:rFonts w:eastAsia="Lucida Sans Unicode"/>
          <w:bCs/>
          <w:color w:val="000000"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color w:val="000000"/>
          <w:kern w:val="2"/>
          <w:sz w:val="26"/>
          <w:szCs w:val="26"/>
          <w:lang w:eastAsia="hi-IN" w:bidi="hi-IN"/>
        </w:rPr>
        <w:t xml:space="preserve"> России №220 от 22.11.2004);</w:t>
      </w:r>
    </w:p>
    <w:p w:rsidR="007D6176" w:rsidRDefault="007D6176" w:rsidP="007D6176">
      <w:pPr>
        <w:snapToGrid w:val="0"/>
        <w:spacing w:line="100" w:lineRule="atLeast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color w:val="000000"/>
          <w:kern w:val="2"/>
          <w:sz w:val="26"/>
          <w:szCs w:val="26"/>
          <w:lang w:eastAsia="hi-IN" w:bidi="hi-IN"/>
        </w:rPr>
        <w:t xml:space="preserve">- стандарт санаторно-курортной помощи больным с болезнями щитовидной железы (Приказ </w:t>
      </w:r>
      <w:proofErr w:type="spellStart"/>
      <w:r>
        <w:rPr>
          <w:rFonts w:eastAsia="Lucida Sans Unicode"/>
          <w:bCs/>
          <w:color w:val="000000"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color w:val="000000"/>
          <w:kern w:val="2"/>
          <w:sz w:val="26"/>
          <w:szCs w:val="26"/>
          <w:lang w:eastAsia="hi-IN" w:bidi="hi-IN"/>
        </w:rPr>
        <w:t xml:space="preserve"> России №224 от 22.11.2004)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- стандарт санаторно-курортной помощи больным с болезнями печени, желчного пузыря, желчевыводящих путей и поджелудочной железы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№277 от 23.11.2004);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>
        <w:rPr>
          <w:rFonts w:eastAsia="Lucida Sans Unicode"/>
          <w:bCs/>
          <w:kern w:val="2"/>
          <w:sz w:val="26"/>
          <w:szCs w:val="26"/>
          <w:lang w:eastAsia="hi-IN" w:bidi="hi-IN"/>
        </w:rPr>
        <w:lastRenderedPageBreak/>
        <w:t xml:space="preserve"> - стандарт санаторно-курортной помощи больным с болезнями пищевода, желудка и двенадцатиперстной кишки, кишечника (Приказ </w:t>
      </w:r>
      <w:proofErr w:type="spellStart"/>
      <w:r>
        <w:rPr>
          <w:rFonts w:eastAsia="Lucida Sans Unicode"/>
          <w:bCs/>
          <w:kern w:val="2"/>
          <w:sz w:val="26"/>
          <w:szCs w:val="26"/>
          <w:lang w:eastAsia="hi-IN" w:bidi="hi-IN"/>
        </w:rPr>
        <w:t>Минздравсоцразвития</w:t>
      </w:r>
      <w:proofErr w:type="spellEnd"/>
      <w:r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России №278 от 23.11.2004).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bCs/>
          <w:kern w:val="2"/>
          <w:lang w:eastAsia="hi-IN" w:bidi="hi-IN"/>
        </w:rPr>
        <w:t xml:space="preserve">2. </w:t>
      </w:r>
      <w:r>
        <w:rPr>
          <w:rFonts w:eastAsia="Lucida Sans Unicode"/>
          <w:kern w:val="2"/>
          <w:lang w:eastAsia="hi-IN" w:bidi="hi-IN"/>
        </w:rPr>
        <w:t>Размещение граждан – получателей набора социальных услуг, а также сопровождающих их лиц, должно осуществляться в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3.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Федерации». 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kern w:val="26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4. Оснащение и оборудование лечебно-диагностических отделений и кабинетов организации, оказывающей санаторно-курортные услуги, должно быть </w:t>
      </w:r>
      <w:r>
        <w:rPr>
          <w:rFonts w:eastAsia="Lucida Sans Unicode"/>
          <w:kern w:val="26"/>
          <w:lang w:eastAsia="hi-IN" w:bidi="hi-IN"/>
        </w:rPr>
        <w:t>достаточным для проведения полного курса санаторно-курортного лечения.</w:t>
      </w:r>
    </w:p>
    <w:p w:rsidR="007D6176" w:rsidRDefault="007D6176" w:rsidP="007D6176">
      <w:pPr>
        <w:widowControl w:val="0"/>
        <w:ind w:firstLine="709"/>
        <w:jc w:val="both"/>
        <w:rPr>
          <w:rFonts w:eastAsia="Lucida Sans Unicode"/>
          <w:kern w:val="26"/>
          <w:lang w:eastAsia="hi-IN" w:bidi="hi-IN"/>
        </w:rPr>
      </w:pPr>
      <w:r>
        <w:rPr>
          <w:rFonts w:eastAsia="Lucida Sans Unicode"/>
          <w:kern w:val="26"/>
          <w:lang w:eastAsia="hi-IN" w:bidi="hi-IN"/>
        </w:rPr>
        <w:t>5. Осуществлять доставку граждан – получателей набора социальных услуг от ближайшей ж/д станции до места расположения санаторно-курортного учреждения за счет санаторно-курортного учреждения.</w:t>
      </w:r>
    </w:p>
    <w:p w:rsidR="007D6176" w:rsidRDefault="007D6176" w:rsidP="007D6176">
      <w:pPr>
        <w:widowControl w:val="0"/>
        <w:suppressAutoHyphens w:val="0"/>
        <w:ind w:firstLine="709"/>
        <w:jc w:val="both"/>
        <w:rPr>
          <w:rFonts w:eastAsia="Lucida Sans Unicode"/>
          <w:kern w:val="26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6. Соблюдать рекомендации по организации работы санаторно-курортных учреждений в условиях сохранения рисков распространения COVID-19, утвержденных Письмом Федеральной службы по надзору в сфере защиты прав потребителей и благополучия человека от 20.05.2020г. №02/9876-2020-23.</w:t>
      </w:r>
    </w:p>
    <w:p w:rsidR="00623719" w:rsidRDefault="00623719">
      <w:bookmarkStart w:id="0" w:name="_GoBack"/>
      <w:bookmarkEnd w:id="0"/>
    </w:p>
    <w:sectPr w:rsidR="0062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92"/>
    <w:rsid w:val="00344592"/>
    <w:rsid w:val="00623719"/>
    <w:rsid w:val="007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D6176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D617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Юлия Игоревна</dc:creator>
  <cp:keywords/>
  <dc:description/>
  <cp:lastModifiedBy>Андрианова Юлия Игоревна</cp:lastModifiedBy>
  <cp:revision>2</cp:revision>
  <dcterms:created xsi:type="dcterms:W3CDTF">2022-11-11T07:36:00Z</dcterms:created>
  <dcterms:modified xsi:type="dcterms:W3CDTF">2022-11-11T07:37:00Z</dcterms:modified>
</cp:coreProperties>
</file>