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27" w:rsidRDefault="00653BE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891F27" w:rsidRDefault="00B242BA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Извещению о проведении закупки</w:t>
      </w:r>
    </w:p>
    <w:p w:rsidR="00891F27" w:rsidRDefault="00891F27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891F27" w:rsidRDefault="00891F27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891F27" w:rsidRDefault="00653BE4">
      <w:pPr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891F27" w:rsidRDefault="00653BE4">
      <w:pPr>
        <w:autoSpaceDE w:val="0"/>
        <w:ind w:firstLine="708"/>
        <w:jc w:val="center"/>
      </w:pPr>
      <w:r>
        <w:rPr>
          <w:rFonts w:eastAsia="Times New Roman CYR" w:cs="Times New Roman"/>
          <w:b/>
          <w:bCs/>
          <w:sz w:val="20"/>
          <w:szCs w:val="20"/>
        </w:rPr>
        <w:t>на обеспечение инвалидов техническими средствами реабилитации в 2022 году.</w:t>
      </w:r>
    </w:p>
    <w:p w:rsidR="00891F27" w:rsidRDefault="00891F27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891F27" w:rsidRDefault="00653BE4">
      <w:pPr>
        <w:pStyle w:val="Standard"/>
        <w:numPr>
          <w:ilvl w:val="0"/>
          <w:numId w:val="5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sz w:val="20"/>
          <w:szCs w:val="20"/>
        </w:rPr>
        <w:t>аукцион в электронной форме.</w:t>
      </w:r>
    </w:p>
    <w:p w:rsidR="00891F27" w:rsidRDefault="00653BE4">
      <w:pPr>
        <w:pStyle w:val="Standard"/>
        <w:numPr>
          <w:ilvl w:val="0"/>
          <w:numId w:val="5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п</w:t>
      </w:r>
      <w:r>
        <w:rPr>
          <w:rFonts w:cs="Times New Roman"/>
          <w:color w:val="000000"/>
          <w:sz w:val="20"/>
          <w:szCs w:val="20"/>
        </w:rPr>
        <w:t>оставка технических средств реабилитации инвалидам в 2022 году</w:t>
      </w:r>
      <w:r>
        <w:rPr>
          <w:rFonts w:eastAsia="Times New Roman CYR" w:cs="Times New Roman"/>
          <w:bCs/>
          <w:sz w:val="20"/>
          <w:szCs w:val="20"/>
        </w:rPr>
        <w:t xml:space="preserve">. </w:t>
      </w:r>
      <w:r>
        <w:rPr>
          <w:rFonts w:eastAsia="Times New Roman CYR" w:cs="Times New Roman"/>
          <w:b/>
          <w:bCs/>
          <w:sz w:val="20"/>
          <w:szCs w:val="20"/>
        </w:rPr>
        <w:t xml:space="preserve">Протезы </w:t>
      </w:r>
      <w:r w:rsidR="00956B6D">
        <w:rPr>
          <w:rFonts w:eastAsia="Times New Roman CYR" w:cs="Times New Roman"/>
          <w:b/>
          <w:bCs/>
          <w:sz w:val="20"/>
          <w:szCs w:val="20"/>
        </w:rPr>
        <w:t>верхних конечностей активные (тяговые)</w:t>
      </w:r>
    </w:p>
    <w:p w:rsidR="00F37D39" w:rsidRDefault="00F37D39">
      <w:pPr>
        <w:pStyle w:val="Standard"/>
        <w:autoSpaceDE w:val="0"/>
        <w:ind w:left="426"/>
        <w:jc w:val="both"/>
        <w:rPr>
          <w:rFonts w:eastAsia="Times New Roman CYR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913"/>
        <w:gridCol w:w="1323"/>
        <w:gridCol w:w="988"/>
        <w:gridCol w:w="1417"/>
      </w:tblGrid>
      <w:tr w:rsidR="00891F27" w:rsidTr="00956B6D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Кол-во, </w:t>
            </w:r>
            <w:r w:rsidR="00956B6D">
              <w:rPr>
                <w:rFonts w:cs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891F27" w:rsidTr="00956B6D">
        <w:trPr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Протез должен быть предназначен для частичной компенсации врожденных и ампутационных дефектов кисти при полном или частичном отсутствии пальцев. 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состоит из: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предплечья с закрепленной манжетой (на больших размерах протезов используются 2 манжеты);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арки, которая соединяет между собой модуль кисти и модуль предплечья;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тросов, натянутых от пальцев к предплечью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культеприемной гильзы.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Пластиковый корпус кисти и арка протеза должен изготавливаются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использования дополнительных аксессуаров - см. пункт “Комплект поставки”.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Использование активного протеза частично компенсирует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Тип пластиковой поверхности протеза: глянцевый или матовый;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культеприемной гильзы;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УФ-рисунок на модуле кисти протеза (опционально): из базового набора или по предложению пользователя.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891F27" w:rsidRDefault="00653BE4" w:rsidP="00F37D3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 (ладошка и напальчники). Обратить внимание: токопроводящие (touchscreen) напальчники могут быть только черного цвета. 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lastRenderedPageBreak/>
              <w:t>Управление: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От пальцев к предплечью протеза могут </w:t>
            </w:r>
            <w:r w:rsidR="00956B6D">
              <w:rPr>
                <w:rFonts w:eastAsia="Montserrat" w:cs="Times New Roman"/>
                <w:sz w:val="20"/>
                <w:szCs w:val="20"/>
              </w:rPr>
              <w:t>быть натянуты</w:t>
            </w:r>
            <w:r>
              <w:rPr>
                <w:rFonts w:eastAsia="Montserrat" w:cs="Times New Roman"/>
                <w:sz w:val="20"/>
                <w:szCs w:val="20"/>
              </w:rPr>
              <w:t xml:space="preserve"> тросы. Положение пальцев протеза должны регулироваться движением культи в лучезапястном суставе, которое вызывает натяжение / ослабление тросов: 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сгибе культи в запястье тросы натягиваются, и пальцы протеза сжимаются (осуществляется схват);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разгибании культи в запястье тросы расслабляются, и пальцы протеза разжимаются (схват раскрывается).</w:t>
            </w:r>
          </w:p>
          <w:p w:rsidR="00891F27" w:rsidRDefault="00653BE4" w:rsidP="00F37D3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протезом, настроить степень раскрытия и смыкания протеза, а также отзывчивость протеза к движению культи в запястье, чтобы пальцы протеза сжимались от большего или меньшего движения.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Культеприемная гильза: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Гильза должна изготавливаться индивидуально по гипсовому слепку культи пользователя из термолина.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КИБИ Кисть (в сборе) - 1 шт.;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Антисептик - 1 шт;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Набор запасных напальчников - по количеству пальцев протеза.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891F27" w:rsidRDefault="00653BE4" w:rsidP="00F37D39">
            <w:pPr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Часы или фитнес-трекер;</w:t>
            </w:r>
          </w:p>
          <w:p w:rsidR="00891F27" w:rsidRDefault="00653BE4" w:rsidP="00F37D3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смартфона.</w:t>
            </w:r>
          </w:p>
          <w:p w:rsidR="00891F27" w:rsidRDefault="00653BE4" w:rsidP="00F37D39">
            <w:r>
              <w:rPr>
                <w:rFonts w:eastAsia="Arial Cyr" w:cs="Times New Roman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956B6D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183 194,44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1 282 361,08</w:t>
            </w:r>
          </w:p>
        </w:tc>
      </w:tr>
      <w:tr w:rsidR="00891F27" w:rsidTr="00956B6D">
        <w:trPr>
          <w:trHeight w:val="1262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Протез предплечья активный (тяговый)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Протез должен быть предназначен для частичной компенсации врожденных и ампутационных дефектов предплечья при сохраненном локтевом суставе. 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Подходит для взрослых и детей от 2-х лет.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должен состоять из: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кисти с пальцами;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механизма пассивной ротации кисти;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предплечья (шарнирно соединен с плечевой аркой);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плечевой арки с закрепленной манжетой;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тросов, натянутых от пальцев к плечевой арке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культеприемной гильзы.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Пластиковый корпус предплечья и плечевая арка протеза должен изготавливаться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Функционал протеза может быть расширен за счет использования дополнительных аксессуаров.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lastRenderedPageBreak/>
              <w:t xml:space="preserve">Использование активного протеза должен частично компенсировать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 xml:space="preserve">Внешний вид: 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18"/>
                <w:szCs w:val="18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Тип поверхности протеза: глянцевый или матовый;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Цвет манжеты протеза;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Цвет культеприемной гильзы;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УФ-рисунок на модуле кисти протеза (опционально): из базового набора или по предложению пользователя;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Вырезы на модуле предплечья протеза (опционально): из базового набора вырезов.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Применение косметической внешней оболочки НЕ предусматривается.</w:t>
            </w:r>
          </w:p>
          <w:p w:rsidR="00891F27" w:rsidRDefault="00653BE4" w:rsidP="00F37D39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Ладонь и кончики пальцев должны быть оснащены противоскользящими силиконовыми накладками (ладошка и напальчники). Обратить внимание: токопроводящие (touchscreen) напальчники могут быть только черного цвета. 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Управление: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От пальцев к плечевой арке протеза должны быть натянуты тросы. Положение пальцев протеза должны регулироваться движением культи в локтевом суставе, которое должно вызывать натяжение / ослабление тросов: 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сгибе культи в локте тросы натягиваются, и пальцы протеза сжимаются (осуществляется схват);</w:t>
            </w:r>
          </w:p>
          <w:p w:rsidR="00891F27" w:rsidRDefault="00653BE4" w:rsidP="00F37D3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разгибании культи в локте тросы расслабляются, и пальцы протеза разжимаются (схват раскрывается).</w:t>
            </w:r>
          </w:p>
          <w:p w:rsidR="00891F27" w:rsidRDefault="00653BE4" w:rsidP="00F37D39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протеза к движению культи в локте, чтобы пальцы протеза сжимались от большего или меньшего движения.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Культеприемная гильза: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Гильза должна изготавливается индивидуально по гипсовому слепку культи пользователя из термолина.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Комплект поставки: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КИБИ Предплечье (в сборе) - 1 шт.;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Руководство пользователя - 1 шт.;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Ключ для регулировки натяжения тросов - 1 шт.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Чехол для протяжки протеза через рукава одежды - 1 шт.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Антисептик - 1 шт;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Набор запасных напальчников - 5 напальчников.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Универсальный секундный клей-гель - 1 шт.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Тубус для протеза - 1 шт.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Раздаточные материалы (опционально).</w:t>
            </w:r>
          </w:p>
          <w:p w:rsidR="00891F27" w:rsidRDefault="00653BE4" w:rsidP="00F37D39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Аксессуары (опционально):</w:t>
            </w:r>
          </w:p>
          <w:p w:rsidR="00891F27" w:rsidRDefault="00653BE4" w:rsidP="00F37D39">
            <w:pPr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фонарика + фонарик;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скакалки + скакалка;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Универсальная насадка для столовых приборов, ручек, карандашей и др.;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Часы или фитнес-трекер;</w:t>
            </w:r>
          </w:p>
          <w:p w:rsidR="00891F27" w:rsidRDefault="00653BE4" w:rsidP="00F37D39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смартфона.</w:t>
            </w:r>
          </w:p>
          <w:p w:rsidR="00891F27" w:rsidRDefault="00653BE4" w:rsidP="00F37D39">
            <w:pPr>
              <w:pStyle w:val="Standard"/>
              <w:keepNext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956B6D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271 329,06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813 987,18</w:t>
            </w:r>
          </w:p>
        </w:tc>
      </w:tr>
      <w:tr w:rsidR="00891F27" w:rsidTr="00956B6D">
        <w:trPr>
          <w:jc w:val="center"/>
        </w:trPr>
        <w:tc>
          <w:tcPr>
            <w:tcW w:w="10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keepNext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Все изделия должны соответствовать требованиям: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ГОСТ Р 51632-2021 (разд. 4,5), ГОСТ ИСО 22523-2007, ГОСТ </w:t>
            </w:r>
            <w:r>
              <w:rPr>
                <w:rFonts w:cs="Times New Roman"/>
                <w:sz w:val="22"/>
                <w:szCs w:val="22"/>
                <w:lang w:val="en-US"/>
              </w:rPr>
              <w:t>ISO</w:t>
            </w:r>
            <w:r>
              <w:rPr>
                <w:rFonts w:cs="Times New Roman"/>
                <w:sz w:val="22"/>
                <w:szCs w:val="22"/>
              </w:rPr>
              <w:t xml:space="preserve"> 10993-1-2011, ГОСТ </w:t>
            </w:r>
            <w:r>
              <w:rPr>
                <w:rFonts w:cs="Times New Roman"/>
                <w:sz w:val="22"/>
                <w:szCs w:val="22"/>
                <w:lang w:val="en-US"/>
              </w:rPr>
              <w:t>ISO</w:t>
            </w:r>
            <w:r>
              <w:rPr>
                <w:rFonts w:cs="Times New Roman"/>
                <w:sz w:val="22"/>
                <w:szCs w:val="22"/>
              </w:rPr>
              <w:t xml:space="preserve"> 10993-5-2011, ГОСТ </w:t>
            </w:r>
            <w:r>
              <w:rPr>
                <w:rFonts w:cs="Times New Roman"/>
                <w:sz w:val="22"/>
                <w:szCs w:val="22"/>
                <w:lang w:val="en-US"/>
              </w:rPr>
              <w:t>ISO</w:t>
            </w:r>
            <w:r>
              <w:rPr>
                <w:rFonts w:cs="Times New Roman"/>
                <w:sz w:val="22"/>
                <w:szCs w:val="22"/>
              </w:rPr>
              <w:t xml:space="preserve"> 10993-10-2011, ГОСТ </w:t>
            </w:r>
            <w:r>
              <w:rPr>
                <w:rFonts w:cs="Times New Roman"/>
                <w:sz w:val="22"/>
                <w:szCs w:val="22"/>
                <w:lang w:val="en-US"/>
              </w:rPr>
              <w:t>ISO</w:t>
            </w:r>
            <w:r>
              <w:rPr>
                <w:rFonts w:cs="Times New Roman"/>
                <w:sz w:val="22"/>
                <w:szCs w:val="22"/>
              </w:rPr>
              <w:t xml:space="preserve"> 10993-11-2011, ГОСТ Р 52770-2016.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Срок гарантии изделий не менее 12 месяцев.</w:t>
            </w:r>
          </w:p>
        </w:tc>
      </w:tr>
      <w:tr w:rsidR="00891F27" w:rsidTr="00956B6D">
        <w:trPr>
          <w:trHeight w:val="196"/>
          <w:jc w:val="center"/>
        </w:trPr>
        <w:tc>
          <w:tcPr>
            <w:tcW w:w="6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653BE4" w:rsidP="00F37D39">
            <w:pPr>
              <w:pStyle w:val="Standard"/>
              <w:keepNext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891F27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27" w:rsidRDefault="00C75DE1" w:rsidP="00F37D39">
            <w:pPr>
              <w:pStyle w:val="Standard"/>
              <w:tabs>
                <w:tab w:val="left" w:pos="232"/>
              </w:tabs>
              <w:snapToGrid w:val="0"/>
              <w:ind w:right="-2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2 096 348,26</w:t>
            </w:r>
          </w:p>
        </w:tc>
      </w:tr>
    </w:tbl>
    <w:p w:rsidR="008F5BF8" w:rsidRPr="008F5BF8" w:rsidRDefault="008F5BF8" w:rsidP="008F5BF8">
      <w:pPr>
        <w:pStyle w:val="Standard"/>
        <w:jc w:val="both"/>
      </w:pPr>
    </w:p>
    <w:p w:rsidR="008F5BF8" w:rsidRPr="008F5BF8" w:rsidRDefault="008F5BF8" w:rsidP="008F5BF8">
      <w:pPr>
        <w:pStyle w:val="Standard"/>
        <w:ind w:left="720"/>
        <w:jc w:val="both"/>
      </w:pP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"/>
          <w:sz w:val="20"/>
          <w:szCs w:val="20"/>
        </w:rPr>
        <w:t>: федеральный бюджет.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0135F5">
        <w:rPr>
          <w:rFonts w:eastAsia="Times New Roman CYR" w:cs="Times New Roman"/>
          <w:b/>
          <w:bCs/>
          <w:sz w:val="20"/>
          <w:szCs w:val="20"/>
        </w:rPr>
        <w:t>2</w:t>
      </w:r>
      <w:r w:rsidR="00C75DE1">
        <w:rPr>
          <w:rFonts w:eastAsia="Times New Roman CYR" w:cs="Times New Roman"/>
          <w:b/>
          <w:bCs/>
          <w:sz w:val="20"/>
          <w:szCs w:val="20"/>
        </w:rPr>
        <w:t> 096 348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2B4C28">
        <w:rPr>
          <w:rFonts w:eastAsia="Times New Roman CYR" w:cs="Times New Roman"/>
          <w:sz w:val="20"/>
          <w:szCs w:val="20"/>
        </w:rPr>
        <w:t>рублей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C75DE1">
        <w:rPr>
          <w:rFonts w:eastAsia="Times New Roman CYR" w:cs="Times New Roman"/>
          <w:b/>
          <w:bCs/>
          <w:sz w:val="20"/>
          <w:szCs w:val="20"/>
        </w:rPr>
        <w:t>26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0135F5">
        <w:rPr>
          <w:rFonts w:eastAsia="Times New Roman CYR" w:cs="Times New Roman"/>
          <w:bCs/>
          <w:sz w:val="20"/>
          <w:szCs w:val="20"/>
        </w:rPr>
        <w:t>копеек.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2B4C28">
        <w:rPr>
          <w:rFonts w:eastAsia="Times New Roman CYR" w:cs="Times New Roman"/>
          <w:bCs/>
          <w:i/>
          <w:iCs/>
          <w:sz w:val="20"/>
          <w:szCs w:val="20"/>
        </w:rPr>
        <w:t>протезов верхних конечностей</w:t>
      </w:r>
      <w:r w:rsidR="002B4C28">
        <w:rPr>
          <w:rFonts w:eastAsia="Times New Roman CYR" w:cs="Times New Roman"/>
          <w:bCs/>
          <w:i/>
          <w:iCs/>
          <w:sz w:val="20"/>
          <w:szCs w:val="20"/>
        </w:rPr>
        <w:t xml:space="preserve"> активных (тяговых)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 w:rsidR="009072D3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>» декабря 2022 года.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оплата производится Заказчиком по безналичному расчету в течение 7 (семи) рабочих дней с даты предоставления Исполнителем </w:t>
      </w:r>
      <w:r>
        <w:rPr>
          <w:rFonts w:cs="Times New Roman"/>
          <w:color w:val="000000"/>
          <w:sz w:val="20"/>
          <w:szCs w:val="20"/>
        </w:rPr>
        <w:t>подписанного Сторонами, актов приема-передачи Изделия, реестра выполненных работ, акта выполненных работ, отрывного талона к направлению, а также счета на оплату.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891F27" w:rsidRDefault="00653BE4">
      <w:pPr>
        <w:pStyle w:val="Standard"/>
        <w:numPr>
          <w:ilvl w:val="0"/>
          <w:numId w:val="1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891F27" w:rsidRDefault="00891F27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891F27" w:rsidRDefault="00891F27">
      <w:pPr>
        <w:autoSpaceDE w:val="0"/>
        <w:ind w:firstLine="567"/>
        <w:rPr>
          <w:rFonts w:eastAsia="Times New Roman CYR" w:cs="Times New Roman"/>
          <w:color w:val="000000"/>
          <w:sz w:val="20"/>
          <w:szCs w:val="20"/>
        </w:rPr>
      </w:pPr>
    </w:p>
    <w:p w:rsidR="00891F27" w:rsidRDefault="00891F27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891F27" w:rsidRDefault="00891F27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891F27" w:rsidRDefault="00891F27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  <w:bookmarkStart w:id="0" w:name="_GoBack"/>
      <w:bookmarkEnd w:id="0"/>
    </w:p>
    <w:sectPr w:rsidR="00891F27" w:rsidSect="00F37D39">
      <w:pgSz w:w="11906" w:h="16838"/>
      <w:pgMar w:top="1008" w:right="88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6A" w:rsidRDefault="00DD636A">
      <w:r>
        <w:separator/>
      </w:r>
    </w:p>
  </w:endnote>
  <w:endnote w:type="continuationSeparator" w:id="0">
    <w:p w:rsidR="00DD636A" w:rsidRDefault="00D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charset w:val="00"/>
    <w:family w:val="auto"/>
    <w:pitch w:val="default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6A" w:rsidRDefault="00DD636A">
      <w:r>
        <w:rPr>
          <w:color w:val="000000"/>
        </w:rPr>
        <w:separator/>
      </w:r>
    </w:p>
  </w:footnote>
  <w:footnote w:type="continuationSeparator" w:id="0">
    <w:p w:rsidR="00DD636A" w:rsidRDefault="00DD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B7"/>
    <w:multiLevelType w:val="multilevel"/>
    <w:tmpl w:val="6B449F1C"/>
    <w:styleLink w:val="WW8Num1"/>
    <w:lvl w:ilvl="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/>
        <w:sz w:val="2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>
    <w:nsid w:val="1BA23DDF"/>
    <w:multiLevelType w:val="multilevel"/>
    <w:tmpl w:val="C04E2AC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58E75A6"/>
    <w:multiLevelType w:val="multilevel"/>
    <w:tmpl w:val="41746DA4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E523F7"/>
    <w:multiLevelType w:val="multilevel"/>
    <w:tmpl w:val="02F8269C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CAB5F81"/>
    <w:multiLevelType w:val="multilevel"/>
    <w:tmpl w:val="4B767E18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E6505F8"/>
    <w:multiLevelType w:val="multilevel"/>
    <w:tmpl w:val="440849DA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abstractNum w:abstractNumId="6">
    <w:nsid w:val="30027435"/>
    <w:multiLevelType w:val="multilevel"/>
    <w:tmpl w:val="E8220B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7">
    <w:nsid w:val="3A797991"/>
    <w:multiLevelType w:val="multilevel"/>
    <w:tmpl w:val="F04C57A6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3682B64"/>
    <w:multiLevelType w:val="multilevel"/>
    <w:tmpl w:val="AEACB0C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E45769E"/>
    <w:multiLevelType w:val="multilevel"/>
    <w:tmpl w:val="CCAC77B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3EE6821"/>
    <w:multiLevelType w:val="multilevel"/>
    <w:tmpl w:val="1310BF52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6DE7001A"/>
    <w:multiLevelType w:val="multilevel"/>
    <w:tmpl w:val="498E572E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7"/>
    <w:rsid w:val="000135F5"/>
    <w:rsid w:val="002B4C28"/>
    <w:rsid w:val="00386AB9"/>
    <w:rsid w:val="00653BE4"/>
    <w:rsid w:val="00891F27"/>
    <w:rsid w:val="008F5BF8"/>
    <w:rsid w:val="009072D3"/>
    <w:rsid w:val="00956B6D"/>
    <w:rsid w:val="00B242BA"/>
    <w:rsid w:val="00B32D0E"/>
    <w:rsid w:val="00C75DE1"/>
    <w:rsid w:val="00CB2C28"/>
    <w:rsid w:val="00DD636A"/>
    <w:rsid w:val="00F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7FA8-B8A8-4CCB-B603-0D26F55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a"/>
    <w:pPr>
      <w:ind w:left="720"/>
    </w:pPr>
    <w:rPr>
      <w:szCs w:val="21"/>
    </w:rPr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WW8Num2z0">
    <w:name w:val="WW8Num2z0"/>
    <w:rPr>
      <w:b/>
      <w:i/>
    </w:rPr>
  </w:style>
  <w:style w:type="character" w:customStyle="1" w:styleId="WW8Num2z1">
    <w:name w:val="WW8Num2z1"/>
    <w:rPr>
      <w:rFonts w:eastAsia="Times New Roman CYR" w:cs="Times New Roman CYR"/>
      <w:b/>
      <w:bCs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1z0">
    <w:name w:val="WW8Num1z0"/>
    <w:rPr>
      <w:rFonts w:ascii="Symbol" w:eastAsia="Times New Roman" w:hAnsi="Symbol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rFonts w:ascii="Times New Roman" w:hAnsi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Absatz-Standardschriftart">
    <w:name w:val="Absatz-Standardschriftart"/>
  </w:style>
  <w:style w:type="paragraph" w:styleId="a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Иванченко Полина Викторовна</cp:lastModifiedBy>
  <cp:revision>12</cp:revision>
  <cp:lastPrinted>2022-08-30T00:48:00Z</cp:lastPrinted>
  <dcterms:created xsi:type="dcterms:W3CDTF">2022-08-28T07:42:00Z</dcterms:created>
  <dcterms:modified xsi:type="dcterms:W3CDTF">2022-09-01T06:28:00Z</dcterms:modified>
</cp:coreProperties>
</file>