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9226AD" w:rsidRPr="006F603A" w:rsidRDefault="009226AD" w:rsidP="009226AD">
      <w:pPr>
        <w:spacing w:after="160" w:line="259" w:lineRule="auto"/>
        <w:jc w:val="both"/>
        <w:rPr>
          <w:rFonts w:eastAsia="Andale Sans UI"/>
          <w:kern w:val="1"/>
          <w:lang w:eastAsia="ar-SA"/>
        </w:rPr>
      </w:pPr>
      <w:r w:rsidRPr="00DB3240">
        <w:rPr>
          <w:b/>
          <w:bCs/>
          <w:kern w:val="1"/>
        </w:rPr>
        <w:t xml:space="preserve">Место </w:t>
      </w:r>
      <w:r w:rsidR="00A54B05" w:rsidRPr="00DB3240">
        <w:rPr>
          <w:b/>
          <w:bCs/>
          <w:kern w:val="1"/>
        </w:rPr>
        <w:t>выполнения работ</w:t>
      </w:r>
      <w:r w:rsidRPr="00DB3240">
        <w:rPr>
          <w:b/>
          <w:bCs/>
          <w:kern w:val="1"/>
        </w:rPr>
        <w:t>:</w:t>
      </w:r>
      <w:r w:rsidRPr="008D1CE7">
        <w:rPr>
          <w:rFonts w:eastAsia="Andale Sans UI"/>
          <w:kern w:val="1"/>
          <w:lang w:eastAsia="ar-SA"/>
        </w:rPr>
        <w:t xml:space="preserve"> </w:t>
      </w:r>
      <w:r w:rsidR="00364675" w:rsidRPr="00407E5C">
        <w:t>Осуществить снятие мерок, примерку и выдачу готовых Изделий в специализированных помещениях на территории Ханты-Мансийского автономного округа-</w:t>
      </w:r>
      <w:r w:rsidR="00364675" w:rsidRPr="00071B24">
        <w:t>Югры</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364675" w:rsidRPr="00407E5C">
        <w:rPr>
          <w:rFonts w:eastAsia="Lucida Sans Unicode"/>
          <w:color w:val="000000"/>
          <w:lang w:eastAsia="en-US" w:bidi="en-US"/>
        </w:rPr>
        <w:t xml:space="preserve">Выполнить работы и выдать готовое изделие непосредственно Получателю в течение </w:t>
      </w:r>
      <w:r w:rsidR="00364675">
        <w:rPr>
          <w:rFonts w:eastAsia="Lucida Sans Unicode"/>
          <w:color w:val="000000"/>
          <w:lang w:eastAsia="en-US" w:bidi="en-US"/>
        </w:rPr>
        <w:t>6</w:t>
      </w:r>
      <w:r w:rsidR="00364675" w:rsidRPr="00407E5C">
        <w:rPr>
          <w:rFonts w:eastAsia="Lucida Sans Unicode"/>
          <w:color w:val="000000"/>
          <w:lang w:eastAsia="en-US" w:bidi="en-US"/>
        </w:rPr>
        <w:t xml:space="preserve">0 календарных </w:t>
      </w:r>
      <w:bookmarkStart w:id="0" w:name="_GoBack"/>
      <w:bookmarkEnd w:id="0"/>
      <w:r w:rsidR="00364675" w:rsidRPr="00407E5C">
        <w:rPr>
          <w:rFonts w:eastAsia="Lucida Sans Unicode"/>
          <w:color w:val="000000"/>
          <w:lang w:eastAsia="en-US" w:bidi="en-US"/>
        </w:rPr>
        <w:t>дней</w:t>
      </w:r>
      <w:r w:rsidR="00364675" w:rsidRPr="00407E5C">
        <w:rPr>
          <w:rFonts w:eastAsia="Lucida Sans Unicode"/>
          <w:kern w:val="2"/>
        </w:rPr>
        <w:t>,</w:t>
      </w:r>
      <w:r w:rsidR="00364675" w:rsidRPr="00407E5C">
        <w:rPr>
          <w:rFonts w:eastAsia="Lucida Sans Unicode"/>
          <w:color w:val="000000"/>
          <w:lang w:eastAsia="en-US" w:bidi="en-US"/>
        </w:rPr>
        <w:t xml:space="preserve"> с момента обращения Получателя, при представлении им паспорта и Направления, выданного Заказчиком, но не позднее </w:t>
      </w:r>
      <w:r w:rsidR="00364675">
        <w:rPr>
          <w:rFonts w:eastAsia="Lucida Sans Unicode"/>
          <w:color w:val="000000"/>
          <w:lang w:eastAsia="en-US" w:bidi="en-US"/>
        </w:rPr>
        <w:t>30.06.2022</w:t>
      </w:r>
      <w:r w:rsidR="00364675" w:rsidRPr="00407E5C">
        <w:rPr>
          <w:rFonts w:eastAsia="Lucida Sans Unicode"/>
          <w:color w:val="000000"/>
          <w:lang w:eastAsia="en-US" w:bidi="en-US"/>
        </w:rPr>
        <w:t xml:space="preserve"> года</w:t>
      </w:r>
    </w:p>
    <w:p w:rsidR="00D7115C"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Look w:val="04A0" w:firstRow="1" w:lastRow="0" w:firstColumn="1" w:lastColumn="0" w:noHBand="0" w:noVBand="1"/>
      </w:tblPr>
      <w:tblGrid>
        <w:gridCol w:w="668"/>
        <w:gridCol w:w="1733"/>
        <w:gridCol w:w="4682"/>
        <w:gridCol w:w="1701"/>
        <w:gridCol w:w="689"/>
        <w:gridCol w:w="722"/>
      </w:tblGrid>
      <w:tr w:rsidR="00364675" w:rsidRPr="00364675" w:rsidTr="00364675">
        <w:trPr>
          <w:trHeight w:val="1825"/>
        </w:trPr>
        <w:tc>
          <w:tcPr>
            <w:tcW w:w="328" w:type="pct"/>
            <w:tcBorders>
              <w:top w:val="single" w:sz="4" w:space="0" w:color="000000"/>
              <w:left w:val="single" w:sz="4" w:space="0" w:color="000000"/>
              <w:bottom w:val="single" w:sz="4" w:space="0" w:color="000000"/>
              <w:right w:val="nil"/>
            </w:tcBorders>
            <w:vAlign w:val="center"/>
            <w:hideMark/>
          </w:tcPr>
          <w:p w:rsidR="00364675" w:rsidRPr="00364675" w:rsidRDefault="00364675" w:rsidP="00364675">
            <w:pPr>
              <w:autoSpaceDE w:val="0"/>
              <w:autoSpaceDN w:val="0"/>
              <w:adjustRightInd w:val="0"/>
              <w:jc w:val="center"/>
              <w:rPr>
                <w:sz w:val="22"/>
                <w:szCs w:val="22"/>
              </w:rPr>
            </w:pPr>
            <w:r w:rsidRPr="00364675">
              <w:rPr>
                <w:sz w:val="22"/>
                <w:szCs w:val="22"/>
              </w:rPr>
              <w:t>№</w:t>
            </w:r>
          </w:p>
          <w:p w:rsidR="00364675" w:rsidRPr="00364675" w:rsidRDefault="00364675" w:rsidP="00364675">
            <w:pPr>
              <w:autoSpaceDE w:val="0"/>
              <w:autoSpaceDN w:val="0"/>
              <w:adjustRightInd w:val="0"/>
              <w:jc w:val="center"/>
              <w:rPr>
                <w:sz w:val="22"/>
                <w:szCs w:val="22"/>
              </w:rPr>
            </w:pPr>
            <w:r w:rsidRPr="00364675">
              <w:rPr>
                <w:sz w:val="22"/>
                <w:szCs w:val="22"/>
              </w:rPr>
              <w:t>п/п</w:t>
            </w:r>
          </w:p>
        </w:tc>
        <w:tc>
          <w:tcPr>
            <w:tcW w:w="850" w:type="pct"/>
            <w:tcBorders>
              <w:top w:val="single" w:sz="4" w:space="0" w:color="000000"/>
              <w:left w:val="single" w:sz="4" w:space="0" w:color="000000"/>
              <w:bottom w:val="single" w:sz="4" w:space="0" w:color="000000"/>
              <w:right w:val="nil"/>
            </w:tcBorders>
            <w:vAlign w:val="center"/>
            <w:hideMark/>
          </w:tcPr>
          <w:p w:rsidR="00364675" w:rsidRPr="00364675" w:rsidRDefault="00364675" w:rsidP="00364675">
            <w:pPr>
              <w:autoSpaceDE w:val="0"/>
              <w:autoSpaceDN w:val="0"/>
              <w:adjustRightInd w:val="0"/>
              <w:jc w:val="center"/>
              <w:rPr>
                <w:sz w:val="22"/>
                <w:szCs w:val="22"/>
              </w:rPr>
            </w:pPr>
            <w:r w:rsidRPr="00364675">
              <w:rPr>
                <w:sz w:val="22"/>
                <w:szCs w:val="22"/>
              </w:rPr>
              <w:t xml:space="preserve">Наименование </w:t>
            </w:r>
          </w:p>
        </w:tc>
        <w:tc>
          <w:tcPr>
            <w:tcW w:w="2296" w:type="pct"/>
            <w:tcBorders>
              <w:top w:val="single" w:sz="4" w:space="0" w:color="000000"/>
              <w:left w:val="single" w:sz="4" w:space="0" w:color="000000"/>
              <w:bottom w:val="single" w:sz="4" w:space="0" w:color="auto"/>
              <w:right w:val="nil"/>
            </w:tcBorders>
            <w:vAlign w:val="center"/>
            <w:hideMark/>
          </w:tcPr>
          <w:p w:rsidR="00364675" w:rsidRPr="00364675" w:rsidRDefault="00364675" w:rsidP="00364675">
            <w:pPr>
              <w:contextualSpacing/>
              <w:jc w:val="center"/>
              <w:rPr>
                <w:sz w:val="22"/>
                <w:szCs w:val="22"/>
              </w:rPr>
            </w:pPr>
            <w:r w:rsidRPr="00364675">
              <w:rPr>
                <w:sz w:val="22"/>
                <w:szCs w:val="22"/>
              </w:rPr>
              <w:t>Наименование показателя</w:t>
            </w:r>
            <w:r w:rsidRPr="00364675">
              <w:rPr>
                <w:sz w:val="22"/>
                <w:szCs w:val="22"/>
                <w:vertAlign w:val="superscript"/>
              </w:rPr>
              <w:t xml:space="preserve"> </w:t>
            </w:r>
            <w:r w:rsidRPr="00364675">
              <w:rPr>
                <w:sz w:val="22"/>
                <w:szCs w:val="22"/>
                <w:vertAlign w:val="superscript"/>
              </w:rPr>
              <w:footnoteReference w:id="1"/>
            </w:r>
          </w:p>
          <w:p w:rsidR="00364675" w:rsidRPr="00364675" w:rsidRDefault="00364675" w:rsidP="00364675">
            <w:pPr>
              <w:contextualSpacing/>
              <w:jc w:val="center"/>
              <w:rPr>
                <w:color w:val="FF0000"/>
                <w:sz w:val="22"/>
                <w:szCs w:val="22"/>
              </w:rPr>
            </w:pPr>
            <w:r w:rsidRPr="00364675">
              <w:rPr>
                <w:color w:val="FF0000"/>
                <w:sz w:val="22"/>
                <w:szCs w:val="22"/>
              </w:rPr>
              <w:t>(неизменяемое)</w:t>
            </w:r>
          </w:p>
        </w:tc>
        <w:tc>
          <w:tcPr>
            <w:tcW w:w="834" w:type="pct"/>
            <w:tcBorders>
              <w:top w:val="single" w:sz="4" w:space="0" w:color="000000"/>
              <w:left w:val="single" w:sz="4" w:space="0" w:color="000000"/>
              <w:bottom w:val="single" w:sz="4" w:space="0" w:color="000000"/>
              <w:right w:val="nil"/>
            </w:tcBorders>
            <w:vAlign w:val="center"/>
            <w:hideMark/>
          </w:tcPr>
          <w:p w:rsidR="00364675" w:rsidRPr="00364675" w:rsidRDefault="00364675" w:rsidP="00364675">
            <w:pPr>
              <w:autoSpaceDE w:val="0"/>
              <w:autoSpaceDN w:val="0"/>
              <w:adjustRightInd w:val="0"/>
              <w:contextualSpacing/>
              <w:jc w:val="center"/>
              <w:rPr>
                <w:sz w:val="22"/>
                <w:szCs w:val="22"/>
              </w:rPr>
            </w:pPr>
            <w:r w:rsidRPr="00364675">
              <w:rPr>
                <w:sz w:val="22"/>
                <w:szCs w:val="22"/>
              </w:rPr>
              <w:t>Значения показателей, которые не могут изменяться</w:t>
            </w:r>
            <w:r w:rsidRPr="00364675">
              <w:rPr>
                <w:sz w:val="22"/>
                <w:szCs w:val="22"/>
                <w:vertAlign w:val="superscript"/>
              </w:rPr>
              <w:footnoteReference w:id="2"/>
            </w:r>
          </w:p>
          <w:p w:rsidR="00364675" w:rsidRPr="00364675" w:rsidRDefault="00364675" w:rsidP="00364675">
            <w:pPr>
              <w:autoSpaceDE w:val="0"/>
              <w:autoSpaceDN w:val="0"/>
              <w:adjustRightInd w:val="0"/>
              <w:contextualSpacing/>
              <w:jc w:val="center"/>
              <w:rPr>
                <w:color w:val="FF0000"/>
                <w:sz w:val="22"/>
                <w:szCs w:val="22"/>
              </w:rPr>
            </w:pPr>
            <w:r w:rsidRPr="00364675">
              <w:rPr>
                <w:color w:val="FF0000"/>
                <w:sz w:val="22"/>
                <w:szCs w:val="22"/>
              </w:rPr>
              <w:t>(неизменяемое)</w:t>
            </w:r>
          </w:p>
        </w:tc>
        <w:tc>
          <w:tcPr>
            <w:tcW w:w="338" w:type="pct"/>
            <w:tcBorders>
              <w:top w:val="single" w:sz="4" w:space="0" w:color="auto"/>
              <w:left w:val="single" w:sz="4" w:space="0" w:color="auto"/>
              <w:bottom w:val="single" w:sz="4" w:space="0" w:color="auto"/>
              <w:right w:val="single" w:sz="4" w:space="0" w:color="auto"/>
            </w:tcBorders>
            <w:vAlign w:val="center"/>
          </w:tcPr>
          <w:p w:rsidR="00364675" w:rsidRPr="00364675" w:rsidRDefault="00364675" w:rsidP="00364675">
            <w:pPr>
              <w:autoSpaceDE w:val="0"/>
              <w:autoSpaceDN w:val="0"/>
              <w:adjustRightInd w:val="0"/>
              <w:jc w:val="center"/>
              <w:rPr>
                <w:sz w:val="22"/>
                <w:szCs w:val="22"/>
              </w:rPr>
            </w:pPr>
            <w:r w:rsidRPr="00364675">
              <w:rPr>
                <w:sz w:val="22"/>
                <w:szCs w:val="22"/>
              </w:rPr>
              <w:t>Ед. изм.</w:t>
            </w:r>
          </w:p>
        </w:tc>
        <w:tc>
          <w:tcPr>
            <w:tcW w:w="354" w:type="pct"/>
            <w:tcBorders>
              <w:top w:val="single" w:sz="4" w:space="0" w:color="auto"/>
              <w:left w:val="single" w:sz="4" w:space="0" w:color="auto"/>
              <w:bottom w:val="single" w:sz="4" w:space="0" w:color="auto"/>
              <w:right w:val="single" w:sz="4" w:space="0" w:color="auto"/>
            </w:tcBorders>
            <w:vAlign w:val="center"/>
            <w:hideMark/>
          </w:tcPr>
          <w:p w:rsidR="00364675" w:rsidRPr="00364675" w:rsidRDefault="00364675" w:rsidP="00364675">
            <w:pPr>
              <w:autoSpaceDE w:val="0"/>
              <w:autoSpaceDN w:val="0"/>
              <w:adjustRightInd w:val="0"/>
              <w:jc w:val="center"/>
              <w:rPr>
                <w:sz w:val="22"/>
                <w:szCs w:val="22"/>
              </w:rPr>
            </w:pPr>
            <w:r w:rsidRPr="00364675">
              <w:rPr>
                <w:sz w:val="22"/>
                <w:szCs w:val="22"/>
              </w:rPr>
              <w:t>Кол-во</w:t>
            </w:r>
          </w:p>
        </w:tc>
      </w:tr>
      <w:tr w:rsidR="00364675" w:rsidRPr="00364675" w:rsidTr="00364675">
        <w:trPr>
          <w:trHeight w:val="257"/>
        </w:trPr>
        <w:tc>
          <w:tcPr>
            <w:tcW w:w="328" w:type="pct"/>
            <w:tcBorders>
              <w:top w:val="single" w:sz="4" w:space="0" w:color="000000"/>
              <w:left w:val="single" w:sz="4" w:space="0" w:color="000000"/>
              <w:bottom w:val="single" w:sz="4" w:space="0" w:color="000000"/>
              <w:right w:val="nil"/>
            </w:tcBorders>
            <w:hideMark/>
          </w:tcPr>
          <w:p w:rsidR="00364675" w:rsidRPr="00364675" w:rsidRDefault="00364675" w:rsidP="00B87568">
            <w:pPr>
              <w:autoSpaceDE w:val="0"/>
              <w:autoSpaceDN w:val="0"/>
              <w:adjustRightInd w:val="0"/>
              <w:jc w:val="center"/>
              <w:rPr>
                <w:sz w:val="22"/>
                <w:szCs w:val="22"/>
              </w:rPr>
            </w:pPr>
            <w:r w:rsidRPr="00364675">
              <w:rPr>
                <w:sz w:val="22"/>
                <w:szCs w:val="22"/>
              </w:rPr>
              <w:t>1.</w:t>
            </w:r>
          </w:p>
        </w:tc>
        <w:tc>
          <w:tcPr>
            <w:tcW w:w="850" w:type="pct"/>
            <w:tcBorders>
              <w:top w:val="single" w:sz="4" w:space="0" w:color="000000"/>
              <w:left w:val="single" w:sz="4" w:space="0" w:color="000000"/>
              <w:bottom w:val="single" w:sz="4" w:space="0" w:color="000000"/>
              <w:right w:val="single" w:sz="4" w:space="0" w:color="auto"/>
            </w:tcBorders>
          </w:tcPr>
          <w:p w:rsidR="00364675" w:rsidRPr="00364675" w:rsidRDefault="00364675" w:rsidP="00B87568">
            <w:pPr>
              <w:jc w:val="center"/>
              <w:rPr>
                <w:color w:val="000000"/>
                <w:sz w:val="22"/>
                <w:szCs w:val="22"/>
              </w:rPr>
            </w:pPr>
            <w:r w:rsidRPr="00364675">
              <w:rPr>
                <w:color w:val="000000"/>
                <w:sz w:val="22"/>
                <w:szCs w:val="22"/>
              </w:rPr>
              <w:t>Протез бедра с внешним источником энергии</w:t>
            </w:r>
          </w:p>
        </w:tc>
        <w:tc>
          <w:tcPr>
            <w:tcW w:w="2296" w:type="pct"/>
            <w:tcBorders>
              <w:top w:val="single" w:sz="4" w:space="0" w:color="auto"/>
              <w:left w:val="single" w:sz="4" w:space="0" w:color="auto"/>
              <w:bottom w:val="single" w:sz="4" w:space="0" w:color="auto"/>
              <w:right w:val="single" w:sz="4" w:space="0" w:color="auto"/>
            </w:tcBorders>
          </w:tcPr>
          <w:p w:rsidR="00364675" w:rsidRPr="00364675" w:rsidRDefault="00364675" w:rsidP="00364675">
            <w:pPr>
              <w:pStyle w:val="aff4"/>
              <w:shd w:val="clear" w:color="auto" w:fill="FFFFFF"/>
              <w:spacing w:before="0" w:beforeAutospacing="0" w:after="0" w:afterAutospacing="0"/>
              <w:jc w:val="both"/>
              <w:rPr>
                <w:sz w:val="22"/>
                <w:szCs w:val="22"/>
              </w:rPr>
            </w:pPr>
            <w:r w:rsidRPr="00364675">
              <w:rPr>
                <w:sz w:val="22"/>
                <w:szCs w:val="22"/>
              </w:rPr>
              <w:t xml:space="preserve">Приемная гильза индивидуального изготовления по слепку с культи пострадавшего. </w:t>
            </w:r>
          </w:p>
          <w:p w:rsidR="00364675" w:rsidRPr="00364675" w:rsidRDefault="00364675" w:rsidP="00364675">
            <w:pPr>
              <w:pStyle w:val="aff4"/>
              <w:shd w:val="clear" w:color="auto" w:fill="FFFFFF"/>
              <w:spacing w:before="0" w:beforeAutospacing="0" w:after="0" w:afterAutospacing="0"/>
              <w:jc w:val="both"/>
              <w:rPr>
                <w:sz w:val="22"/>
                <w:szCs w:val="22"/>
              </w:rPr>
            </w:pPr>
            <w:r w:rsidRPr="00364675">
              <w:rPr>
                <w:sz w:val="22"/>
                <w:szCs w:val="22"/>
              </w:rPr>
              <w:t>Материал постоянной гильзы – литьевой слоистый пластик на основе акриловых смол.</w:t>
            </w:r>
          </w:p>
          <w:p w:rsidR="00364675" w:rsidRPr="00364675" w:rsidRDefault="00364675" w:rsidP="00364675">
            <w:pPr>
              <w:pStyle w:val="aff4"/>
              <w:shd w:val="clear" w:color="auto" w:fill="FFFFFF"/>
              <w:spacing w:before="0" w:beforeAutospacing="0" w:after="0" w:afterAutospacing="0"/>
              <w:jc w:val="both"/>
              <w:rPr>
                <w:sz w:val="22"/>
                <w:szCs w:val="22"/>
              </w:rPr>
            </w:pPr>
            <w:r w:rsidRPr="00364675">
              <w:rPr>
                <w:sz w:val="22"/>
                <w:szCs w:val="22"/>
              </w:rPr>
              <w:t>Вкладная гильза из эластичного пластика.</w:t>
            </w:r>
          </w:p>
          <w:p w:rsidR="00364675" w:rsidRPr="00364675" w:rsidRDefault="00364675" w:rsidP="00364675">
            <w:pPr>
              <w:pStyle w:val="aff4"/>
              <w:shd w:val="clear" w:color="auto" w:fill="FFFFFF"/>
              <w:spacing w:before="0" w:beforeAutospacing="0" w:after="0" w:afterAutospacing="0"/>
              <w:jc w:val="both"/>
              <w:rPr>
                <w:sz w:val="22"/>
                <w:szCs w:val="22"/>
              </w:rPr>
            </w:pPr>
            <w:r w:rsidRPr="00364675">
              <w:rPr>
                <w:sz w:val="22"/>
                <w:szCs w:val="22"/>
              </w:rPr>
              <w:t>Изготовление пробных гильз из термопласта.</w:t>
            </w:r>
          </w:p>
          <w:p w:rsidR="00364675" w:rsidRPr="00364675" w:rsidRDefault="00364675" w:rsidP="00364675">
            <w:pPr>
              <w:pStyle w:val="aff4"/>
              <w:shd w:val="clear" w:color="auto" w:fill="FFFFFF"/>
              <w:spacing w:before="0" w:beforeAutospacing="0" w:after="0" w:afterAutospacing="0"/>
              <w:jc w:val="both"/>
              <w:rPr>
                <w:sz w:val="22"/>
                <w:szCs w:val="22"/>
              </w:rPr>
            </w:pPr>
            <w:r w:rsidRPr="00364675">
              <w:rPr>
                <w:sz w:val="22"/>
                <w:szCs w:val="22"/>
              </w:rPr>
              <w:t>Крепление на пострадавшем при помощи силиконового чехла двухточечной ременной системы крепления.</w:t>
            </w:r>
          </w:p>
          <w:p w:rsidR="00364675" w:rsidRPr="00364675" w:rsidRDefault="00364675" w:rsidP="00364675">
            <w:pPr>
              <w:pStyle w:val="aff4"/>
              <w:shd w:val="clear" w:color="auto" w:fill="FFFFFF"/>
              <w:spacing w:before="0" w:beforeAutospacing="0" w:after="0" w:afterAutospacing="0"/>
              <w:jc w:val="both"/>
              <w:rPr>
                <w:sz w:val="22"/>
                <w:szCs w:val="22"/>
              </w:rPr>
            </w:pPr>
            <w:r w:rsidRPr="00364675">
              <w:rPr>
                <w:sz w:val="22"/>
                <w:szCs w:val="22"/>
              </w:rPr>
              <w:t>Регулировочно-соединительные устройства соответствуют весовым и нагрузочным параметрам пациента.</w:t>
            </w:r>
          </w:p>
          <w:p w:rsidR="00364675" w:rsidRPr="00364675" w:rsidRDefault="00364675" w:rsidP="00364675">
            <w:pPr>
              <w:pStyle w:val="aff4"/>
              <w:shd w:val="clear" w:color="auto" w:fill="FFFFFF"/>
              <w:spacing w:before="0" w:beforeAutospacing="0" w:after="0" w:afterAutospacing="0"/>
              <w:jc w:val="both"/>
              <w:rPr>
                <w:sz w:val="22"/>
                <w:szCs w:val="22"/>
              </w:rPr>
            </w:pPr>
            <w:r w:rsidRPr="00364675">
              <w:rPr>
                <w:sz w:val="22"/>
                <w:szCs w:val="22"/>
              </w:rPr>
              <w:t>Применение поворотного устройства, обеспечивающего поворот коленного модуля, стопы, относительно приемной гильзы на 360 градусов (с целью увеличения самообслуживания пациента).</w:t>
            </w:r>
          </w:p>
          <w:p w:rsidR="00364675" w:rsidRPr="00364675" w:rsidRDefault="00364675" w:rsidP="00364675">
            <w:pPr>
              <w:pStyle w:val="aff4"/>
              <w:shd w:val="clear" w:color="auto" w:fill="FFFFFF"/>
              <w:spacing w:before="0" w:beforeAutospacing="0" w:after="0" w:afterAutospacing="0"/>
              <w:jc w:val="both"/>
              <w:rPr>
                <w:sz w:val="22"/>
                <w:szCs w:val="22"/>
              </w:rPr>
            </w:pPr>
            <w:r w:rsidRPr="00364675">
              <w:rPr>
                <w:sz w:val="22"/>
                <w:szCs w:val="22"/>
              </w:rPr>
              <w:t xml:space="preserve">Электронный одноосный, гидравлический коленный модуль с функцией </w:t>
            </w:r>
            <w:proofErr w:type="spellStart"/>
            <w:r w:rsidRPr="00364675">
              <w:rPr>
                <w:sz w:val="22"/>
                <w:szCs w:val="22"/>
              </w:rPr>
              <w:t>влагозащищенности</w:t>
            </w:r>
            <w:proofErr w:type="spellEnd"/>
            <w:r w:rsidRPr="00364675">
              <w:rPr>
                <w:sz w:val="22"/>
                <w:szCs w:val="22"/>
              </w:rPr>
              <w:t xml:space="preserve"> от </w:t>
            </w:r>
            <w:proofErr w:type="spellStart"/>
            <w:r w:rsidRPr="00364675">
              <w:rPr>
                <w:sz w:val="22"/>
                <w:szCs w:val="22"/>
              </w:rPr>
              <w:t>брыхг</w:t>
            </w:r>
            <w:proofErr w:type="spellEnd"/>
            <w:r w:rsidRPr="00364675">
              <w:rPr>
                <w:sz w:val="22"/>
                <w:szCs w:val="22"/>
              </w:rPr>
              <w:t xml:space="preserve">, с полностью электронным контролем фазы опоры и переноса, с адаптивной функцией контроля подгибания до угла 17 градусов, наличие адаптивного контроля устойчивости </w:t>
            </w:r>
            <w:r w:rsidRPr="00364675">
              <w:rPr>
                <w:sz w:val="22"/>
                <w:szCs w:val="22"/>
                <w:lang w:val="en-US"/>
              </w:rPr>
              <w:t>DSC</w:t>
            </w:r>
            <w:r w:rsidRPr="00364675">
              <w:rPr>
                <w:sz w:val="22"/>
                <w:szCs w:val="22"/>
              </w:rPr>
              <w:t>, с адаптивным контролем фазы переноса, с ограничением сгибания в 65 градусов, интуитивная функция опоры, функция осознанной блокировки, с возможностью спуска и подъема по лестнице переменным шагом, 5 индивидуально программируемых режимов работы.</w:t>
            </w:r>
          </w:p>
          <w:p w:rsidR="00364675" w:rsidRPr="00364675" w:rsidRDefault="00364675" w:rsidP="00364675">
            <w:pPr>
              <w:pStyle w:val="aff4"/>
              <w:shd w:val="clear" w:color="auto" w:fill="FFFFFF"/>
              <w:spacing w:before="0" w:beforeAutospacing="0" w:after="0" w:afterAutospacing="0"/>
              <w:jc w:val="both"/>
              <w:rPr>
                <w:sz w:val="22"/>
                <w:szCs w:val="22"/>
              </w:rPr>
            </w:pPr>
            <w:r w:rsidRPr="00364675">
              <w:rPr>
                <w:sz w:val="22"/>
                <w:szCs w:val="22"/>
              </w:rPr>
              <w:t>Автоматический переход в режим бега.</w:t>
            </w:r>
          </w:p>
          <w:p w:rsidR="00364675" w:rsidRPr="00364675" w:rsidRDefault="00364675" w:rsidP="00364675">
            <w:pPr>
              <w:pStyle w:val="aff4"/>
              <w:shd w:val="clear" w:color="auto" w:fill="FFFFFF"/>
              <w:spacing w:before="0" w:beforeAutospacing="0" w:after="0" w:afterAutospacing="0"/>
              <w:jc w:val="both"/>
              <w:rPr>
                <w:sz w:val="22"/>
                <w:szCs w:val="22"/>
              </w:rPr>
            </w:pPr>
            <w:r w:rsidRPr="00364675">
              <w:rPr>
                <w:sz w:val="22"/>
                <w:szCs w:val="22"/>
              </w:rPr>
              <w:t>Стопа из углепластика с расщепленной носочной частью, отведенным первым пальцем, с взаимозаменяемыми пяточными клиньями с дренажными отверстиями в косметической облицовке.</w:t>
            </w:r>
          </w:p>
          <w:p w:rsidR="00364675" w:rsidRPr="00364675" w:rsidRDefault="00364675" w:rsidP="00364675">
            <w:pPr>
              <w:jc w:val="both"/>
              <w:rPr>
                <w:sz w:val="22"/>
                <w:szCs w:val="22"/>
              </w:rPr>
            </w:pPr>
            <w:proofErr w:type="gramStart"/>
            <w:r w:rsidRPr="00364675">
              <w:rPr>
                <w:sz w:val="22"/>
                <w:szCs w:val="22"/>
              </w:rPr>
              <w:lastRenderedPageBreak/>
              <w:t>Косметическая облицовка</w:t>
            </w:r>
            <w:proofErr w:type="gramEnd"/>
            <w:r w:rsidRPr="00364675">
              <w:rPr>
                <w:sz w:val="22"/>
                <w:szCs w:val="22"/>
              </w:rPr>
              <w:t xml:space="preserve"> специализированная пыле-, влагоотталкивающая.</w:t>
            </w:r>
          </w:p>
        </w:tc>
        <w:tc>
          <w:tcPr>
            <w:tcW w:w="834" w:type="pct"/>
            <w:tcBorders>
              <w:top w:val="single" w:sz="4" w:space="0" w:color="000000"/>
              <w:left w:val="single" w:sz="4" w:space="0" w:color="auto"/>
              <w:bottom w:val="single" w:sz="4" w:space="0" w:color="000000"/>
              <w:right w:val="nil"/>
            </w:tcBorders>
          </w:tcPr>
          <w:p w:rsidR="00364675" w:rsidRPr="00364675" w:rsidRDefault="00364675" w:rsidP="00B87568">
            <w:pPr>
              <w:autoSpaceDE w:val="0"/>
              <w:autoSpaceDN w:val="0"/>
              <w:adjustRightInd w:val="0"/>
              <w:jc w:val="center"/>
              <w:rPr>
                <w:sz w:val="22"/>
                <w:szCs w:val="22"/>
              </w:rPr>
            </w:pPr>
            <w:r w:rsidRPr="00364675">
              <w:rPr>
                <w:sz w:val="22"/>
                <w:szCs w:val="22"/>
              </w:rPr>
              <w:lastRenderedPageBreak/>
              <w:t>Соответствует</w:t>
            </w:r>
          </w:p>
        </w:tc>
        <w:tc>
          <w:tcPr>
            <w:tcW w:w="338" w:type="pct"/>
            <w:tcBorders>
              <w:top w:val="single" w:sz="4" w:space="0" w:color="auto"/>
              <w:left w:val="single" w:sz="4" w:space="0" w:color="000000"/>
              <w:bottom w:val="single" w:sz="4" w:space="0" w:color="000000"/>
              <w:right w:val="single" w:sz="4" w:space="0" w:color="auto"/>
            </w:tcBorders>
          </w:tcPr>
          <w:p w:rsidR="00364675" w:rsidRPr="00364675" w:rsidRDefault="00364675" w:rsidP="00B87568">
            <w:pPr>
              <w:jc w:val="center"/>
              <w:rPr>
                <w:sz w:val="22"/>
                <w:szCs w:val="22"/>
              </w:rPr>
            </w:pPr>
            <w:r w:rsidRPr="00364675">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364675" w:rsidRPr="00364675" w:rsidRDefault="00364675" w:rsidP="00B87568">
            <w:pPr>
              <w:autoSpaceDE w:val="0"/>
              <w:autoSpaceDN w:val="0"/>
              <w:adjustRightInd w:val="0"/>
              <w:jc w:val="center"/>
              <w:rPr>
                <w:sz w:val="22"/>
                <w:szCs w:val="22"/>
              </w:rPr>
            </w:pPr>
            <w:r w:rsidRPr="00364675">
              <w:rPr>
                <w:sz w:val="22"/>
                <w:szCs w:val="22"/>
              </w:rPr>
              <w:t>1</w:t>
            </w:r>
          </w:p>
        </w:tc>
      </w:tr>
    </w:tbl>
    <w:p w:rsidR="00364675" w:rsidRDefault="00364675" w:rsidP="009A4C9B">
      <w:pPr>
        <w:spacing w:after="160" w:line="259" w:lineRule="auto"/>
        <w:jc w:val="both"/>
      </w:pPr>
    </w:p>
    <w:p w:rsidR="00364675" w:rsidRPr="007440BF" w:rsidRDefault="00364675" w:rsidP="00364675">
      <w:pPr>
        <w:widowControl w:val="0"/>
        <w:autoSpaceDE w:val="0"/>
        <w:ind w:firstLine="709"/>
        <w:jc w:val="both"/>
      </w:pPr>
      <w:r w:rsidRPr="007440BF">
        <w:t xml:space="preserve">ГОСТ ISO 10993-1-2011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7440BF">
        <w:t>цитотоксичность</w:t>
      </w:r>
      <w:proofErr w:type="spellEnd"/>
      <w:r w:rsidRPr="007440BF">
        <w:t xml:space="preserve">: методы </w:t>
      </w:r>
      <w:proofErr w:type="spellStart"/>
      <w:r w:rsidRPr="007440BF">
        <w:t>in</w:t>
      </w:r>
      <w:proofErr w:type="spellEnd"/>
      <w:r w:rsidRPr="007440BF">
        <w:t xml:space="preserve"> </w:t>
      </w:r>
      <w:proofErr w:type="spellStart"/>
      <w:r w:rsidRPr="007440BF">
        <w:t>vitro</w:t>
      </w:r>
      <w:proofErr w:type="spellEnd"/>
      <w:r w:rsidRPr="007440BF">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ГОСТ ИСО 22523-2007 «Протезы конечностей и </w:t>
      </w:r>
      <w:proofErr w:type="spellStart"/>
      <w:r w:rsidRPr="007440BF">
        <w:t>ортезы</w:t>
      </w:r>
      <w:proofErr w:type="spellEnd"/>
      <w:r w:rsidRPr="007440BF">
        <w:t xml:space="preserve"> наружные требования и методы испытаний».</w:t>
      </w:r>
    </w:p>
    <w:p w:rsidR="00126DEB" w:rsidRDefault="00126DEB" w:rsidP="00DB3240">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19" w:rsidRDefault="008B5B19" w:rsidP="00D7115C">
      <w:r>
        <w:separator/>
      </w:r>
    </w:p>
  </w:endnote>
  <w:endnote w:type="continuationSeparator" w:id="0">
    <w:p w:rsidR="008B5B19" w:rsidRDefault="008B5B19"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19" w:rsidRDefault="008B5B19" w:rsidP="00D7115C">
      <w:r>
        <w:separator/>
      </w:r>
    </w:p>
  </w:footnote>
  <w:footnote w:type="continuationSeparator" w:id="0">
    <w:p w:rsidR="008B5B19" w:rsidRDefault="008B5B19" w:rsidP="00D7115C">
      <w:r>
        <w:continuationSeparator/>
      </w:r>
    </w:p>
  </w:footnote>
  <w:footnote w:id="1">
    <w:p w:rsidR="00364675" w:rsidRDefault="00364675"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2">
    <w:p w:rsidR="00364675" w:rsidRPr="00985908" w:rsidRDefault="00364675"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844E3"/>
    <w:multiLevelType w:val="hybridMultilevel"/>
    <w:tmpl w:val="17022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6">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8"/>
  </w:num>
  <w:num w:numId="4">
    <w:abstractNumId w:val="12"/>
  </w:num>
  <w:num w:numId="5">
    <w:abstractNumId w:val="27"/>
  </w:num>
  <w:num w:numId="6">
    <w:abstractNumId w:val="26"/>
  </w:num>
  <w:num w:numId="7">
    <w:abstractNumId w:val="21"/>
  </w:num>
  <w:num w:numId="8">
    <w:abstractNumId w:val="13"/>
  </w:num>
  <w:num w:numId="9">
    <w:abstractNumId w:val="10"/>
  </w:num>
  <w:num w:numId="10">
    <w:abstractNumId w:val="7"/>
  </w:num>
  <w:num w:numId="11">
    <w:abstractNumId w:val="24"/>
  </w:num>
  <w:num w:numId="12">
    <w:abstractNumId w:val="8"/>
  </w:num>
  <w:num w:numId="13">
    <w:abstractNumId w:val="28"/>
  </w:num>
  <w:num w:numId="14">
    <w:abstractNumId w:val="29"/>
  </w:num>
  <w:num w:numId="15">
    <w:abstractNumId w:val="19"/>
  </w:num>
  <w:num w:numId="16">
    <w:abstractNumId w:val="14"/>
  </w:num>
  <w:num w:numId="17">
    <w:abstractNumId w:val="9"/>
  </w:num>
  <w:num w:numId="18">
    <w:abstractNumId w:val="4"/>
  </w:num>
  <w:num w:numId="19">
    <w:abstractNumId w:val="15"/>
  </w:num>
  <w:num w:numId="20">
    <w:abstractNumId w:val="5"/>
  </w:num>
  <w:num w:numId="21">
    <w:abstractNumId w:val="0"/>
  </w:num>
  <w:num w:numId="22">
    <w:abstractNumId w:val="25"/>
  </w:num>
  <w:num w:numId="23">
    <w:abstractNumId w:val="17"/>
  </w:num>
  <w:num w:numId="24">
    <w:abstractNumId w:val="22"/>
  </w:num>
  <w:num w:numId="25">
    <w:abstractNumId w:val="23"/>
  </w:num>
  <w:num w:numId="26">
    <w:abstractNumId w:val="11"/>
  </w:num>
  <w:num w:numId="27">
    <w:abstractNumId w:val="16"/>
  </w:num>
  <w:num w:numId="28">
    <w:abstractNumId w:val="2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402A6"/>
    <w:rsid w:val="000739C0"/>
    <w:rsid w:val="000A357E"/>
    <w:rsid w:val="000A37D4"/>
    <w:rsid w:val="000D3DE0"/>
    <w:rsid w:val="00126DEB"/>
    <w:rsid w:val="001370D2"/>
    <w:rsid w:val="00195EEB"/>
    <w:rsid w:val="001A1B23"/>
    <w:rsid w:val="001C1494"/>
    <w:rsid w:val="00251D72"/>
    <w:rsid w:val="002C16FF"/>
    <w:rsid w:val="00310864"/>
    <w:rsid w:val="003210F2"/>
    <w:rsid w:val="00333A18"/>
    <w:rsid w:val="00364675"/>
    <w:rsid w:val="003D486E"/>
    <w:rsid w:val="003E36EE"/>
    <w:rsid w:val="00427C62"/>
    <w:rsid w:val="00457089"/>
    <w:rsid w:val="004667AA"/>
    <w:rsid w:val="004B058A"/>
    <w:rsid w:val="004C04C5"/>
    <w:rsid w:val="004C1D05"/>
    <w:rsid w:val="004D497F"/>
    <w:rsid w:val="004F2140"/>
    <w:rsid w:val="00585EDA"/>
    <w:rsid w:val="005935A0"/>
    <w:rsid w:val="005D4418"/>
    <w:rsid w:val="005F2386"/>
    <w:rsid w:val="006B7384"/>
    <w:rsid w:val="006F603A"/>
    <w:rsid w:val="007214BD"/>
    <w:rsid w:val="007670F9"/>
    <w:rsid w:val="007A0C01"/>
    <w:rsid w:val="007C105E"/>
    <w:rsid w:val="007F2A0B"/>
    <w:rsid w:val="00812F5F"/>
    <w:rsid w:val="00842A50"/>
    <w:rsid w:val="00852E8C"/>
    <w:rsid w:val="00896D3D"/>
    <w:rsid w:val="008A00DE"/>
    <w:rsid w:val="008A35F0"/>
    <w:rsid w:val="008B5B19"/>
    <w:rsid w:val="008D1CE7"/>
    <w:rsid w:val="009226AD"/>
    <w:rsid w:val="009277FE"/>
    <w:rsid w:val="009A4C9B"/>
    <w:rsid w:val="009B247F"/>
    <w:rsid w:val="009C26AF"/>
    <w:rsid w:val="00A520C7"/>
    <w:rsid w:val="00A54B05"/>
    <w:rsid w:val="00A5515B"/>
    <w:rsid w:val="00A978CB"/>
    <w:rsid w:val="00AC04AF"/>
    <w:rsid w:val="00AD58F0"/>
    <w:rsid w:val="00B201AE"/>
    <w:rsid w:val="00B45B9E"/>
    <w:rsid w:val="00B63052"/>
    <w:rsid w:val="00BB7977"/>
    <w:rsid w:val="00BE167F"/>
    <w:rsid w:val="00C1613C"/>
    <w:rsid w:val="00CA3011"/>
    <w:rsid w:val="00CA4582"/>
    <w:rsid w:val="00CB0C96"/>
    <w:rsid w:val="00CB473D"/>
    <w:rsid w:val="00CC1AB3"/>
    <w:rsid w:val="00CE28E3"/>
    <w:rsid w:val="00CF1971"/>
    <w:rsid w:val="00D01082"/>
    <w:rsid w:val="00D0241F"/>
    <w:rsid w:val="00D20ED9"/>
    <w:rsid w:val="00D7115C"/>
    <w:rsid w:val="00D8164D"/>
    <w:rsid w:val="00D865A8"/>
    <w:rsid w:val="00DB3240"/>
    <w:rsid w:val="00DC4D5C"/>
    <w:rsid w:val="00E35808"/>
    <w:rsid w:val="00E46D81"/>
    <w:rsid w:val="00E840B0"/>
    <w:rsid w:val="00ED4626"/>
    <w:rsid w:val="00F34F37"/>
    <w:rsid w:val="00FA700E"/>
    <w:rsid w:val="00FD6887"/>
    <w:rsid w:val="00FF46BF"/>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paragraph" w:styleId="aff4">
    <w:name w:val="Normal (Web)"/>
    <w:basedOn w:val="a"/>
    <w:uiPriority w:val="99"/>
    <w:unhideWhenUsed/>
    <w:rsid w:val="0036467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53</cp:revision>
  <dcterms:created xsi:type="dcterms:W3CDTF">2020-08-12T05:43:00Z</dcterms:created>
  <dcterms:modified xsi:type="dcterms:W3CDTF">2021-12-15T04:53:00Z</dcterms:modified>
</cp:coreProperties>
</file>