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D2" w:rsidRDefault="00BC78D2" w:rsidP="00BC78D2">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EC590C" w:rsidRPr="00EC590C" w:rsidRDefault="00EC590C" w:rsidP="00EC590C">
      <w:pPr>
        <w:widowControl w:val="0"/>
        <w:autoSpaceDE w:val="0"/>
        <w:autoSpaceDN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Приложение № 1 к Извещению</w:t>
      </w:r>
    </w:p>
    <w:p w:rsidR="00BC78D2" w:rsidRDefault="009118E7" w:rsidP="00BC78D2">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ОБЪЕКТА ЗАКУПКИ</w:t>
      </w:r>
      <w:bookmarkStart w:id="0" w:name="_GoBack"/>
      <w:bookmarkEnd w:id="0"/>
    </w:p>
    <w:p w:rsidR="00BC78D2" w:rsidRDefault="00BC78D2" w:rsidP="00BC78D2">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914189" w:rsidRDefault="00914189" w:rsidP="0091418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lang w:eastAsia="ru-RU"/>
        </w:rPr>
        <w:t>Предмет контракта:</w:t>
      </w:r>
      <w:r>
        <w:rPr>
          <w:rFonts w:ascii="Times New Roman" w:eastAsia="Times New Roman" w:hAnsi="Times New Roman"/>
          <w:b/>
          <w:sz w:val="24"/>
          <w:szCs w:val="24"/>
        </w:rPr>
        <w:t xml:space="preserve"> </w:t>
      </w:r>
      <w:r w:rsidR="00AF0009">
        <w:rPr>
          <w:rFonts w:ascii="Times New Roman" w:eastAsia="Times New Roman" w:hAnsi="Times New Roman"/>
          <w:sz w:val="24"/>
          <w:szCs w:val="24"/>
        </w:rPr>
        <w:t>Поставка в 2023</w:t>
      </w:r>
      <w:r>
        <w:rPr>
          <w:rFonts w:ascii="Times New Roman" w:eastAsia="Times New Roman" w:hAnsi="Times New Roman"/>
          <w:sz w:val="24"/>
          <w:szCs w:val="24"/>
        </w:rPr>
        <w:t xml:space="preserve"> году специальных средств при нарушении функций выделения для обеспечения инвалидов</w:t>
      </w:r>
    </w:p>
    <w:p w:rsidR="00914189" w:rsidRDefault="00914189" w:rsidP="0091418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Количество поставляемых товаров</w:t>
      </w:r>
      <w:r>
        <w:rPr>
          <w:rFonts w:ascii="Times New Roman" w:eastAsia="Times New Roman" w:hAnsi="Times New Roman"/>
          <w:sz w:val="24"/>
          <w:szCs w:val="24"/>
        </w:rPr>
        <w:t xml:space="preserve">: </w:t>
      </w:r>
      <w:r w:rsidR="00AF0009">
        <w:rPr>
          <w:rFonts w:ascii="Times New Roman" w:eastAsia="Times New Roman" w:hAnsi="Times New Roman"/>
          <w:sz w:val="24"/>
          <w:szCs w:val="24"/>
        </w:rPr>
        <w:t>14</w:t>
      </w:r>
      <w:r w:rsidR="004B551D">
        <w:rPr>
          <w:rFonts w:ascii="Times New Roman" w:eastAsia="Times New Roman" w:hAnsi="Times New Roman"/>
          <w:sz w:val="24"/>
          <w:szCs w:val="24"/>
        </w:rPr>
        <w:t xml:space="preserve"> </w:t>
      </w:r>
      <w:proofErr w:type="gramStart"/>
      <w:r w:rsidR="00AF0009">
        <w:rPr>
          <w:rFonts w:ascii="Times New Roman" w:eastAsia="Times New Roman" w:hAnsi="Times New Roman"/>
          <w:sz w:val="24"/>
          <w:szCs w:val="24"/>
        </w:rPr>
        <w:t>0</w:t>
      </w:r>
      <w:r w:rsidR="004B551D">
        <w:rPr>
          <w:rFonts w:ascii="Times New Roman" w:eastAsia="Times New Roman" w:hAnsi="Times New Roman"/>
          <w:sz w:val="24"/>
          <w:szCs w:val="24"/>
        </w:rPr>
        <w:t>1</w:t>
      </w:r>
      <w:r w:rsidR="00AF0009">
        <w:rPr>
          <w:rFonts w:ascii="Times New Roman" w:eastAsia="Times New Roman" w:hAnsi="Times New Roman"/>
          <w:sz w:val="24"/>
          <w:szCs w:val="24"/>
        </w:rPr>
        <w:t>0</w:t>
      </w:r>
      <w:r w:rsidRPr="00914189">
        <w:rPr>
          <w:rFonts w:ascii="Times New Roman" w:eastAsia="Times New Roman" w:hAnsi="Times New Roman"/>
          <w:sz w:val="24"/>
          <w:szCs w:val="24"/>
        </w:rPr>
        <w:t xml:space="preserve">  </w:t>
      </w:r>
      <w:r w:rsidRPr="00D77D0A">
        <w:rPr>
          <w:rFonts w:ascii="Times New Roman" w:eastAsia="Times New Roman" w:hAnsi="Times New Roman"/>
          <w:sz w:val="24"/>
          <w:szCs w:val="24"/>
        </w:rPr>
        <w:t>шт.</w:t>
      </w:r>
      <w:proofErr w:type="gramEnd"/>
    </w:p>
    <w:p w:rsidR="00914189" w:rsidRDefault="00914189" w:rsidP="0091418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Место поставки</w:t>
      </w:r>
      <w:r>
        <w:rPr>
          <w:rFonts w:ascii="Times New Roman" w:eastAsia="Times New Roman" w:hAnsi="Times New Roman"/>
          <w:sz w:val="24"/>
          <w:szCs w:val="24"/>
        </w:rPr>
        <w:t>: г. Воронеж, Воронежская обл.</w:t>
      </w:r>
    </w:p>
    <w:p w:rsidR="00914189" w:rsidRDefault="00914189" w:rsidP="0091418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Срок доставки:</w:t>
      </w:r>
      <w:r>
        <w:rPr>
          <w:rFonts w:ascii="Times New Roman" w:eastAsia="Times New Roman" w:hAnsi="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w:t>
      </w:r>
      <w:r w:rsidR="00AF1CC3">
        <w:rPr>
          <w:rFonts w:ascii="Times New Roman" w:eastAsia="Times New Roman" w:hAnsi="Times New Roman"/>
          <w:sz w:val="24"/>
          <w:szCs w:val="24"/>
        </w:rPr>
        <w:t>20.0</w:t>
      </w:r>
      <w:r w:rsidR="0011515A">
        <w:rPr>
          <w:rFonts w:ascii="Times New Roman" w:eastAsia="Times New Roman" w:hAnsi="Times New Roman"/>
          <w:sz w:val="24"/>
          <w:szCs w:val="24"/>
        </w:rPr>
        <w:t>4</w:t>
      </w:r>
      <w:r w:rsidR="00AF1CC3">
        <w:rPr>
          <w:rFonts w:ascii="Times New Roman" w:eastAsia="Times New Roman" w:hAnsi="Times New Roman"/>
          <w:sz w:val="24"/>
          <w:szCs w:val="24"/>
        </w:rPr>
        <w:t>.202</w:t>
      </w:r>
      <w:r w:rsidR="00785A2C">
        <w:rPr>
          <w:rFonts w:ascii="Times New Roman" w:eastAsia="Times New Roman" w:hAnsi="Times New Roman"/>
          <w:sz w:val="24"/>
          <w:szCs w:val="24"/>
        </w:rPr>
        <w:t>3</w:t>
      </w:r>
      <w:r>
        <w:rPr>
          <w:rFonts w:ascii="Times New Roman" w:eastAsia="Times New Roman" w:hAnsi="Times New Roman"/>
          <w:sz w:val="24"/>
          <w:szCs w:val="24"/>
        </w:rPr>
        <w:t>.</w:t>
      </w:r>
    </w:p>
    <w:p w:rsidR="00914189" w:rsidRDefault="00914189" w:rsidP="00914189">
      <w:pPr>
        <w:widowControl w:val="0"/>
        <w:autoSpaceDE w:val="0"/>
        <w:autoSpaceDN w:val="0"/>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Условия поставки:</w:t>
      </w:r>
    </w:p>
    <w:p w:rsidR="00914189" w:rsidRPr="003F679E" w:rsidRDefault="00914189" w:rsidP="00914189">
      <w:pPr>
        <w:keepNext/>
        <w:shd w:val="clear" w:color="auto" w:fill="FFFFFF"/>
        <w:spacing w:after="0" w:line="240" w:lineRule="auto"/>
        <w:ind w:firstLine="709"/>
        <w:jc w:val="both"/>
        <w:rPr>
          <w:rFonts w:ascii="Times New Roman" w:eastAsia="Times New Roman" w:hAnsi="Times New Roman"/>
          <w:sz w:val="24"/>
          <w:szCs w:val="24"/>
        </w:rPr>
      </w:pPr>
      <w:r w:rsidRPr="003F679E">
        <w:rPr>
          <w:rFonts w:ascii="Times New Roman" w:eastAsia="Times New Roman" w:hAnsi="Times New Roman"/>
          <w:sz w:val="24"/>
          <w:szCs w:val="24"/>
        </w:rPr>
        <w:t xml:space="preserve">- поставка технических средств реабилитации </w:t>
      </w:r>
      <w:r w:rsidRPr="003F679E">
        <w:rPr>
          <w:rFonts w:ascii="Times New Roman" w:eastAsia="Times New Roman" w:hAnsi="Times New Roman"/>
          <w:bCs/>
          <w:color w:val="000000"/>
          <w:sz w:val="24"/>
          <w:szCs w:val="24"/>
          <w:shd w:val="clear" w:color="auto" w:fill="FFFFFF"/>
        </w:rPr>
        <w:t xml:space="preserve">инвалидам </w:t>
      </w:r>
      <w:r w:rsidRPr="003F679E">
        <w:rPr>
          <w:rFonts w:ascii="Times New Roman" w:eastAsia="Times New Roman" w:hAnsi="Times New Roman"/>
          <w:sz w:val="24"/>
          <w:szCs w:val="24"/>
        </w:rPr>
        <w:t xml:space="preserve">(Получателям) должна осуществляться при наличии направления, выданного </w:t>
      </w:r>
      <w:r w:rsidR="00DB1EC6">
        <w:rPr>
          <w:rFonts w:ascii="Times New Roman" w:eastAsia="Times New Roman" w:hAnsi="Times New Roman"/>
          <w:sz w:val="24"/>
          <w:szCs w:val="24"/>
        </w:rPr>
        <w:t>Заказчиком</w:t>
      </w:r>
      <w:r w:rsidRPr="003F679E">
        <w:rPr>
          <w:rFonts w:ascii="Times New Roman" w:eastAsia="Times New Roman" w:hAnsi="Times New Roman"/>
          <w:sz w:val="24"/>
          <w:szCs w:val="24"/>
        </w:rPr>
        <w:t>;</w:t>
      </w:r>
    </w:p>
    <w:p w:rsidR="00914189" w:rsidRPr="003F679E" w:rsidRDefault="00914189" w:rsidP="00914189">
      <w:pPr>
        <w:spacing w:after="0" w:line="240" w:lineRule="auto"/>
        <w:ind w:firstLine="709"/>
        <w:jc w:val="both"/>
        <w:rPr>
          <w:rFonts w:ascii="Times New Roman" w:eastAsia="Times New Roman" w:hAnsi="Times New Roman"/>
          <w:sz w:val="24"/>
          <w:szCs w:val="24"/>
        </w:rPr>
      </w:pPr>
      <w:r w:rsidRPr="003F679E">
        <w:rPr>
          <w:rFonts w:ascii="Times New Roman" w:eastAsia="Times New Roman" w:hAnsi="Times New Roman"/>
          <w:sz w:val="24"/>
          <w:szCs w:val="24"/>
        </w:rPr>
        <w:t>-</w:t>
      </w:r>
      <w:r>
        <w:rPr>
          <w:rFonts w:ascii="Times New Roman" w:eastAsia="Times New Roman" w:hAnsi="Times New Roman"/>
          <w:sz w:val="24"/>
          <w:szCs w:val="24"/>
        </w:rPr>
        <w:t>в</w:t>
      </w:r>
      <w:r w:rsidRPr="003F679E">
        <w:rPr>
          <w:rFonts w:ascii="Times New Roman" w:eastAsia="Times New Roman" w:hAnsi="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914189" w:rsidRPr="003F679E"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914189" w:rsidRPr="003F679E"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ведение аудиозаписи телефонных разговоров с инвалидами по вопросам получения технического средства реабилитации;</w:t>
      </w:r>
    </w:p>
    <w:p w:rsidR="00914189" w:rsidRPr="003F679E"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914189" w:rsidRPr="003F679E"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914189" w:rsidRPr="003F679E" w:rsidRDefault="00914189" w:rsidP="00914189">
      <w:pPr>
        <w:suppressAutoHyphens/>
        <w:spacing w:after="0" w:line="240" w:lineRule="auto"/>
        <w:ind w:left="142" w:firstLine="709"/>
        <w:jc w:val="both"/>
        <w:rPr>
          <w:rFonts w:ascii="Times New Roman" w:eastAsia="Times New Roman" w:hAnsi="Times New Roman"/>
          <w:bCs/>
          <w:sz w:val="24"/>
          <w:szCs w:val="24"/>
        </w:rPr>
      </w:pPr>
      <w:r w:rsidRPr="003F679E">
        <w:rPr>
          <w:rFonts w:ascii="Times New Roman" w:eastAsia="Times New Roman" w:hAnsi="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914189" w:rsidRPr="003F679E"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информирование инвалидов о дате, времени и месте поставки;</w:t>
      </w:r>
    </w:p>
    <w:p w:rsidR="00914189" w:rsidRDefault="00914189" w:rsidP="00914189">
      <w:pPr>
        <w:suppressAutoHyphens/>
        <w:spacing w:after="0" w:line="240" w:lineRule="auto"/>
        <w:ind w:left="142" w:firstLine="709"/>
        <w:jc w:val="both"/>
        <w:rPr>
          <w:rFonts w:ascii="Times New Roman" w:eastAsia="Times New Roman" w:hAnsi="Times New Roman"/>
          <w:sz w:val="24"/>
          <w:szCs w:val="24"/>
        </w:rPr>
      </w:pPr>
      <w:r w:rsidRPr="003F679E">
        <w:rPr>
          <w:rFonts w:ascii="Times New Roman" w:eastAsia="Times New Roman" w:hAnsi="Times New Roman"/>
          <w:sz w:val="24"/>
          <w:szCs w:val="24"/>
        </w:rPr>
        <w:t>- установить график работы пунктов выдачи Товара, включая работу в один из выходных дней.</w:t>
      </w:r>
    </w:p>
    <w:p w:rsidR="00914189" w:rsidRPr="00266408" w:rsidRDefault="00914189" w:rsidP="00914189">
      <w:pPr>
        <w:spacing w:after="0" w:line="240" w:lineRule="auto"/>
        <w:ind w:firstLine="709"/>
        <w:jc w:val="both"/>
        <w:rPr>
          <w:rFonts w:ascii="Times New Roman" w:hAnsi="Times New Roman"/>
          <w:sz w:val="24"/>
          <w:szCs w:val="24"/>
        </w:rPr>
      </w:pPr>
      <w:bookmarkStart w:id="1" w:name="_Hlk74251644"/>
      <w:r w:rsidRPr="00266408">
        <w:rPr>
          <w:rFonts w:ascii="Times New Roman" w:hAnsi="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14189" w:rsidRDefault="00914189" w:rsidP="00914189">
      <w:pPr>
        <w:spacing w:after="0" w:line="240" w:lineRule="auto"/>
        <w:ind w:firstLine="709"/>
        <w:jc w:val="both"/>
        <w:rPr>
          <w:rFonts w:ascii="Times New Roman" w:eastAsia="Times New Roman" w:hAnsi="Times New Roman"/>
          <w:sz w:val="24"/>
          <w:szCs w:val="24"/>
        </w:rPr>
      </w:pPr>
      <w:r w:rsidRPr="00266408">
        <w:rPr>
          <w:rFonts w:ascii="Times New Roman" w:hAnsi="Times New Roman"/>
          <w:sz w:val="24"/>
          <w:szCs w:val="24"/>
        </w:rPr>
        <w:t>Пункты выдачи должны быть оснащены видеокамерами.</w:t>
      </w:r>
      <w:bookmarkEnd w:id="1"/>
      <w:r w:rsidRPr="00266408">
        <w:rPr>
          <w:rFonts w:ascii="Times New Roman" w:hAnsi="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sz w:val="24"/>
          <w:szCs w:val="24"/>
        </w:rPr>
        <w:t>технических средств реабилитации Получателям.</w:t>
      </w:r>
    </w:p>
    <w:p w:rsidR="00914189" w:rsidRPr="003F679E" w:rsidRDefault="00914189" w:rsidP="00914189">
      <w:pPr>
        <w:spacing w:after="0" w:line="240" w:lineRule="auto"/>
        <w:ind w:firstLine="708"/>
        <w:jc w:val="both"/>
        <w:rPr>
          <w:rFonts w:ascii="Times New Roman" w:eastAsia="Times New Roman" w:hAnsi="Times New Roman"/>
          <w:sz w:val="24"/>
          <w:szCs w:val="24"/>
          <w:lang w:eastAsia="ar-SA"/>
        </w:rPr>
      </w:pPr>
      <w:r w:rsidRPr="003F679E">
        <w:rPr>
          <w:rFonts w:ascii="Times New Roman" w:eastAsia="Times New Roman" w:hAnsi="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914189" w:rsidRPr="003F679E" w:rsidRDefault="00914189" w:rsidP="00914189">
      <w:pPr>
        <w:spacing w:after="0" w:line="240" w:lineRule="auto"/>
        <w:ind w:firstLine="708"/>
        <w:jc w:val="both"/>
        <w:rPr>
          <w:rFonts w:ascii="Times New Roman" w:eastAsia="Times New Roman" w:hAnsi="Times New Roman"/>
          <w:sz w:val="24"/>
          <w:szCs w:val="24"/>
        </w:rPr>
      </w:pPr>
      <w:r w:rsidRPr="003F679E">
        <w:rPr>
          <w:rFonts w:ascii="Times New Roman" w:eastAsia="Times New Roman" w:hAnsi="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914189" w:rsidRPr="003F679E" w:rsidRDefault="00914189" w:rsidP="00914189">
      <w:pPr>
        <w:keepNext/>
        <w:tabs>
          <w:tab w:val="num" w:pos="0"/>
        </w:tabs>
        <w:spacing w:after="0" w:line="240" w:lineRule="auto"/>
        <w:ind w:firstLine="709"/>
        <w:jc w:val="both"/>
        <w:rPr>
          <w:rFonts w:ascii="Times New Roman" w:eastAsia="Times New Roman" w:hAnsi="Times New Roman"/>
          <w:color w:val="000000"/>
          <w:sz w:val="24"/>
          <w:szCs w:val="24"/>
        </w:rPr>
      </w:pPr>
      <w:r w:rsidRPr="003F679E">
        <w:rPr>
          <w:rFonts w:ascii="Times New Roman" w:eastAsia="Times New Roman" w:hAnsi="Times New Roman"/>
          <w:sz w:val="24"/>
          <w:szCs w:val="24"/>
          <w:lang w:eastAsia="ar-SA"/>
        </w:rPr>
        <w:lastRenderedPageBreak/>
        <w:t xml:space="preserve">Перед </w:t>
      </w:r>
      <w:r w:rsidRPr="003F679E">
        <w:rPr>
          <w:rFonts w:ascii="Times New Roman" w:eastAsia="Times New Roman" w:hAnsi="Times New Roman"/>
          <w:color w:val="000000"/>
          <w:sz w:val="24"/>
          <w:szCs w:val="24"/>
        </w:rPr>
        <w:t xml:space="preserve">подписанием Акта выборочной проверки товара </w:t>
      </w:r>
      <w:r w:rsidRPr="003F679E">
        <w:rPr>
          <w:rFonts w:ascii="Times New Roman" w:eastAsia="Times New Roman" w:hAnsi="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914189" w:rsidRPr="003F679E" w:rsidRDefault="00914189" w:rsidP="00914189">
      <w:pPr>
        <w:keepNext/>
        <w:tabs>
          <w:tab w:val="num" w:pos="0"/>
        </w:tabs>
        <w:spacing w:after="0" w:line="240" w:lineRule="auto"/>
        <w:ind w:firstLine="709"/>
        <w:jc w:val="both"/>
        <w:rPr>
          <w:rFonts w:ascii="Times New Roman" w:eastAsia="Times New Roman" w:hAnsi="Times New Roman"/>
          <w:color w:val="000000"/>
          <w:sz w:val="24"/>
          <w:szCs w:val="24"/>
        </w:rPr>
      </w:pPr>
      <w:r w:rsidRPr="003F679E">
        <w:rPr>
          <w:rFonts w:ascii="Times New Roman" w:eastAsia="Times New Roman" w:hAnsi="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914189" w:rsidRDefault="00914189" w:rsidP="00914189">
      <w:pPr>
        <w:widowControl w:val="0"/>
        <w:autoSpaceDE w:val="0"/>
        <w:autoSpaceDN w:val="0"/>
        <w:spacing w:after="0" w:line="240" w:lineRule="auto"/>
        <w:ind w:firstLine="708"/>
        <w:jc w:val="both"/>
        <w:rPr>
          <w:rFonts w:ascii="Times New Roman" w:eastAsia="Times New Roman" w:hAnsi="Times New Roman"/>
          <w:sz w:val="24"/>
          <w:szCs w:val="24"/>
        </w:rPr>
      </w:pPr>
      <w:r w:rsidRPr="003F679E">
        <w:rPr>
          <w:rFonts w:ascii="Times New Roman" w:eastAsia="Times New Roman" w:hAnsi="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B22293" w:rsidRPr="00391010" w:rsidRDefault="00B22293" w:rsidP="00B222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B22293" w:rsidRDefault="00B22293" w:rsidP="00B222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B22293" w:rsidRPr="00BC78D2" w:rsidRDefault="00B22293" w:rsidP="00B22293">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BC78D2">
        <w:rPr>
          <w:rFonts w:ascii="Times New Roman" w:eastAsia="Times New Roman" w:hAnsi="Times New Roman" w:cs="Times New Roman"/>
          <w:bCs/>
          <w:sz w:val="24"/>
          <w:szCs w:val="24"/>
        </w:rPr>
        <w:t xml:space="preserve">Специальные средства при нарушениях функций выделения должны соответствовать требованиям стандартов </w:t>
      </w:r>
      <w:r w:rsidR="00FF7DC9" w:rsidRPr="00FF7DC9">
        <w:rPr>
          <w:rFonts w:ascii="Times New Roman" w:eastAsia="Times New Roman" w:hAnsi="Times New Roman" w:cs="Times New Roman"/>
          <w:bCs/>
          <w:sz w:val="24"/>
          <w:szCs w:val="24"/>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r w:rsidRPr="00BC78D2">
        <w:rPr>
          <w:rFonts w:ascii="Times New Roman" w:eastAsia="Times New Roman" w:hAnsi="Times New Roman" w:cs="Times New Roman"/>
          <w:bCs/>
          <w:sz w:val="24"/>
          <w:szCs w:val="24"/>
        </w:rPr>
        <w:t xml:space="preserve">, ГОСТ ISO 10993-5-2011 «Изделия медицинские. Оценка биологического действия медицинских изделий. Часть 5. Исследования на </w:t>
      </w:r>
      <w:proofErr w:type="spellStart"/>
      <w:r w:rsidRPr="00BC78D2">
        <w:rPr>
          <w:rFonts w:ascii="Times New Roman" w:eastAsia="Times New Roman" w:hAnsi="Times New Roman" w:cs="Times New Roman"/>
          <w:bCs/>
          <w:sz w:val="24"/>
          <w:szCs w:val="24"/>
        </w:rPr>
        <w:t>цитотоксичность</w:t>
      </w:r>
      <w:proofErr w:type="spellEnd"/>
      <w:r w:rsidRPr="00BC78D2">
        <w:rPr>
          <w:rFonts w:ascii="Times New Roman" w:eastAsia="Times New Roman" w:hAnsi="Times New Roman" w:cs="Times New Roman"/>
          <w:bCs/>
          <w:sz w:val="24"/>
          <w:szCs w:val="24"/>
        </w:rPr>
        <w:t xml:space="preserve">: методы </w:t>
      </w:r>
      <w:proofErr w:type="spellStart"/>
      <w:r w:rsidRPr="00BC78D2">
        <w:rPr>
          <w:rFonts w:ascii="Times New Roman" w:eastAsia="Times New Roman" w:hAnsi="Times New Roman" w:cs="Times New Roman"/>
          <w:bCs/>
          <w:sz w:val="24"/>
          <w:szCs w:val="24"/>
        </w:rPr>
        <w:t>invitro</w:t>
      </w:r>
      <w:proofErr w:type="spellEnd"/>
      <w:r w:rsidRPr="00BC78D2">
        <w:rPr>
          <w:rFonts w:ascii="Times New Roman" w:eastAsia="Times New Roman" w:hAnsi="Times New Roman" w:cs="Times New Roman"/>
          <w:bCs/>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w:t>
      </w:r>
      <w:r w:rsidR="00FB5EDB">
        <w:rPr>
          <w:rFonts w:ascii="Times New Roman" w:eastAsia="Times New Roman" w:hAnsi="Times New Roman" w:cs="Times New Roman"/>
          <w:bCs/>
          <w:sz w:val="24"/>
          <w:szCs w:val="24"/>
        </w:rPr>
        <w:t>21</w:t>
      </w:r>
      <w:r w:rsidRPr="00BC78D2">
        <w:rPr>
          <w:rFonts w:ascii="Times New Roman" w:eastAsia="Times New Roman" w:hAnsi="Times New Roman" w:cs="Times New Roman"/>
          <w:bCs/>
          <w:sz w:val="24"/>
          <w:szCs w:val="24"/>
        </w:rPr>
        <w:t xml:space="preserve"> «Технические средства реабилитации людей с ограничениями жизнедеятельности. Общие технические</w:t>
      </w:r>
      <w:r>
        <w:rPr>
          <w:rFonts w:ascii="Times New Roman" w:eastAsia="Times New Roman" w:hAnsi="Times New Roman" w:cs="Times New Roman"/>
          <w:bCs/>
          <w:sz w:val="24"/>
          <w:szCs w:val="24"/>
        </w:rPr>
        <w:t xml:space="preserve"> требования и методы испытаний», ГОСТ Р ИСО 8669-2-2019 «Мочеприемники. Часть 2. Требования и методы испытаний»</w:t>
      </w:r>
      <w:r w:rsidR="003E4886">
        <w:rPr>
          <w:rFonts w:ascii="Times New Roman" w:eastAsia="Times New Roman" w:hAnsi="Times New Roman" w:cs="Times New Roman"/>
          <w:bCs/>
          <w:sz w:val="24"/>
          <w:szCs w:val="24"/>
        </w:rPr>
        <w:t>.</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Маркировка упаковки специальных средств при нарушениях функций выделения должна включать:</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960863"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B22293" w:rsidRPr="00DA3027" w:rsidRDefault="00B22293" w:rsidP="0096086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 номер артикула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B22293"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DB242F" w:rsidRDefault="00DB242F"/>
    <w:tbl>
      <w:tblPr>
        <w:tblStyle w:val="a5"/>
        <w:tblW w:w="14925" w:type="dxa"/>
        <w:tblInd w:w="61" w:type="dxa"/>
        <w:tblLayout w:type="fixed"/>
        <w:tblLook w:val="04A0" w:firstRow="1" w:lastRow="0" w:firstColumn="1" w:lastColumn="0" w:noHBand="0" w:noVBand="1"/>
      </w:tblPr>
      <w:tblGrid>
        <w:gridCol w:w="438"/>
        <w:gridCol w:w="1452"/>
        <w:gridCol w:w="709"/>
        <w:gridCol w:w="1559"/>
        <w:gridCol w:w="2824"/>
        <w:gridCol w:w="6339"/>
        <w:gridCol w:w="1604"/>
      </w:tblGrid>
      <w:tr w:rsidR="00960863" w:rsidTr="00684F6F">
        <w:tc>
          <w:tcPr>
            <w:tcW w:w="438" w:type="dxa"/>
            <w:tcBorders>
              <w:top w:val="single" w:sz="4" w:space="0" w:color="auto"/>
            </w:tcBorders>
            <w:vAlign w:val="center"/>
          </w:tcPr>
          <w:p w:rsidR="00960863" w:rsidRDefault="00960863" w:rsidP="00684F6F">
            <w:pPr>
              <w:widowControl w:val="0"/>
              <w:rPr>
                <w:rFonts w:ascii="Times New Roman CYR" w:hAnsi="Times New Roman CYR" w:cs="Times New Roman CYR"/>
                <w:sz w:val="20"/>
                <w:szCs w:val="20"/>
              </w:rPr>
            </w:pPr>
          </w:p>
        </w:tc>
        <w:tc>
          <w:tcPr>
            <w:tcW w:w="1452" w:type="dxa"/>
            <w:tcBorders>
              <w:top w:val="single" w:sz="4" w:space="0" w:color="auto"/>
            </w:tcBorders>
            <w:vAlign w:val="center"/>
          </w:tcPr>
          <w:p w:rsidR="00960863" w:rsidRDefault="00960863" w:rsidP="00684F6F">
            <w:pPr>
              <w:widowControl w:val="0"/>
              <w:spacing w:line="100" w:lineRule="atLeast"/>
              <w:rPr>
                <w:rFonts w:ascii="Times New Roman CYR" w:hAnsi="Times New Roman CYR" w:cs="Times New Roman CYR"/>
                <w:sz w:val="20"/>
                <w:szCs w:val="20"/>
              </w:rPr>
            </w:pPr>
          </w:p>
        </w:tc>
        <w:tc>
          <w:tcPr>
            <w:tcW w:w="709" w:type="dxa"/>
            <w:tcBorders>
              <w:top w:val="single" w:sz="4" w:space="0" w:color="auto"/>
            </w:tcBorders>
            <w:vAlign w:val="center"/>
          </w:tcPr>
          <w:p w:rsidR="00960863" w:rsidRDefault="00960863" w:rsidP="00684F6F">
            <w:pPr>
              <w:widowControl w:val="0"/>
              <w:spacing w:line="100" w:lineRule="atLeast"/>
              <w:rPr>
                <w:rFonts w:ascii="Times New Roman CYR" w:hAnsi="Times New Roman CYR" w:cs="Times New Roman CYR"/>
                <w:sz w:val="20"/>
                <w:szCs w:val="20"/>
              </w:rPr>
            </w:pPr>
          </w:p>
        </w:tc>
        <w:tc>
          <w:tcPr>
            <w:tcW w:w="1559" w:type="dxa"/>
            <w:tcBorders>
              <w:top w:val="single" w:sz="4" w:space="0" w:color="auto"/>
            </w:tcBorders>
          </w:tcPr>
          <w:p w:rsidR="00960863" w:rsidRDefault="00960863" w:rsidP="00684F6F">
            <w:pPr>
              <w:widowControl w:val="0"/>
              <w:spacing w:line="100" w:lineRule="atLeast"/>
              <w:rPr>
                <w:rFonts w:ascii="Times New Roman CYR" w:hAnsi="Times New Roman CYR" w:cs="Times New Roman CYR"/>
                <w:sz w:val="20"/>
                <w:szCs w:val="20"/>
              </w:rPr>
            </w:pPr>
          </w:p>
        </w:tc>
        <w:tc>
          <w:tcPr>
            <w:tcW w:w="2824" w:type="dxa"/>
            <w:tcBorders>
              <w:top w:val="single" w:sz="4" w:space="0" w:color="auto"/>
            </w:tcBorders>
          </w:tcPr>
          <w:p w:rsidR="00960863" w:rsidRDefault="00960863" w:rsidP="00684F6F">
            <w:pPr>
              <w:widowControl w:val="0"/>
              <w:spacing w:line="100" w:lineRule="atLeast"/>
              <w:jc w:val="center"/>
              <w:rPr>
                <w:rFonts w:ascii="Times New Roman CYR" w:hAnsi="Times New Roman CYR" w:cs="Times New Roman CYR"/>
                <w:sz w:val="20"/>
                <w:szCs w:val="20"/>
              </w:rPr>
            </w:pPr>
          </w:p>
        </w:tc>
        <w:tc>
          <w:tcPr>
            <w:tcW w:w="6339" w:type="dxa"/>
            <w:tcBorders>
              <w:top w:val="single" w:sz="4" w:space="0" w:color="auto"/>
            </w:tcBorders>
            <w:vAlign w:val="center"/>
          </w:tcPr>
          <w:p w:rsidR="00960863" w:rsidRDefault="00960863" w:rsidP="00684F6F">
            <w:pPr>
              <w:widowControl w:val="0"/>
              <w:spacing w:line="100" w:lineRule="atLeast"/>
              <w:jc w:val="center"/>
              <w:rPr>
                <w:rFonts w:ascii="Times New Roman CYR" w:hAnsi="Times New Roman CYR" w:cs="Times New Roman CYR"/>
                <w:sz w:val="20"/>
                <w:szCs w:val="20"/>
              </w:rPr>
            </w:pPr>
          </w:p>
        </w:tc>
        <w:tc>
          <w:tcPr>
            <w:tcW w:w="1604" w:type="dxa"/>
            <w:tcBorders>
              <w:top w:val="single" w:sz="4" w:space="0" w:color="auto"/>
            </w:tcBorders>
            <w:vAlign w:val="center"/>
          </w:tcPr>
          <w:p w:rsidR="00960863" w:rsidRDefault="00960863" w:rsidP="00684F6F">
            <w:pPr>
              <w:widowControl w:val="0"/>
              <w:rPr>
                <w:rFonts w:ascii="Times New Roman CYR" w:hAnsi="Times New Roman CYR" w:cs="Times New Roman CYR"/>
                <w:sz w:val="20"/>
                <w:szCs w:val="20"/>
              </w:rPr>
            </w:pPr>
          </w:p>
        </w:tc>
      </w:tr>
      <w:tr w:rsidR="00960863" w:rsidTr="00684F6F">
        <w:tc>
          <w:tcPr>
            <w:tcW w:w="438" w:type="dxa"/>
            <w:tcBorders>
              <w:top w:val="nil"/>
            </w:tcBorders>
            <w:vAlign w:val="center"/>
          </w:tcPr>
          <w:p w:rsidR="00960863" w:rsidRDefault="00960863" w:rsidP="00684F6F">
            <w:pPr>
              <w:widowControl w:val="0"/>
              <w:rPr>
                <w:rFonts w:ascii="Times New Roman CYR" w:hAnsi="Times New Roman CYR" w:cs="Times New Roman CYR"/>
                <w:sz w:val="20"/>
                <w:szCs w:val="20"/>
              </w:rPr>
            </w:pPr>
            <w:r>
              <w:rPr>
                <w:rFonts w:ascii="Times New Roman CYR" w:eastAsia="Calibri" w:hAnsi="Times New Roman CYR" w:cs="Times New Roman CYR"/>
                <w:sz w:val="20"/>
                <w:szCs w:val="20"/>
              </w:rPr>
              <w:t>№</w:t>
            </w:r>
          </w:p>
          <w:p w:rsidR="00960863" w:rsidRDefault="00960863" w:rsidP="00684F6F">
            <w:pPr>
              <w:widowControl w:val="0"/>
              <w:rPr>
                <w:rFonts w:ascii="Times New Roman CYR" w:hAnsi="Times New Roman CYR" w:cs="Times New Roman CYR"/>
                <w:sz w:val="20"/>
                <w:szCs w:val="20"/>
              </w:rPr>
            </w:pPr>
            <w:r>
              <w:rPr>
                <w:rFonts w:ascii="Times New Roman CYR" w:eastAsia="Calibri" w:hAnsi="Times New Roman CYR" w:cs="Times New Roman CYR"/>
                <w:sz w:val="20"/>
                <w:szCs w:val="20"/>
              </w:rPr>
              <w:t>п/п</w:t>
            </w:r>
          </w:p>
        </w:tc>
        <w:tc>
          <w:tcPr>
            <w:tcW w:w="1452" w:type="dxa"/>
            <w:tcBorders>
              <w:top w:val="nil"/>
            </w:tcBorders>
            <w:vAlign w:val="center"/>
          </w:tcPr>
          <w:p w:rsidR="00960863" w:rsidRDefault="00960863" w:rsidP="00684F6F">
            <w:pPr>
              <w:widowControl w:val="0"/>
              <w:spacing w:line="100" w:lineRule="atLeast"/>
              <w:rPr>
                <w:rFonts w:ascii="Times New Roman CYR" w:hAnsi="Times New Roman CYR" w:cs="Times New Roman CYR"/>
                <w:sz w:val="20"/>
                <w:szCs w:val="20"/>
              </w:rPr>
            </w:pPr>
          </w:p>
          <w:p w:rsidR="00960863" w:rsidRDefault="00960863" w:rsidP="00684F6F">
            <w:pPr>
              <w:widowControl w:val="0"/>
              <w:spacing w:line="100" w:lineRule="atLeast"/>
              <w:rPr>
                <w:rFonts w:ascii="Times New Roman CYR" w:hAnsi="Times New Roman CYR" w:cs="Times New Roman CYR"/>
                <w:sz w:val="20"/>
                <w:szCs w:val="20"/>
              </w:rPr>
            </w:pPr>
            <w:r>
              <w:rPr>
                <w:rFonts w:ascii="Times New Roman CYR" w:eastAsia="Calibri" w:hAnsi="Times New Roman CYR" w:cs="Times New Roman CYR"/>
                <w:sz w:val="20"/>
                <w:szCs w:val="20"/>
              </w:rPr>
              <w:t>Наименование по КТРУ/Код позиции каталога</w:t>
            </w:r>
          </w:p>
        </w:tc>
        <w:tc>
          <w:tcPr>
            <w:tcW w:w="709" w:type="dxa"/>
            <w:tcBorders>
              <w:top w:val="nil"/>
            </w:tcBorders>
            <w:vAlign w:val="center"/>
          </w:tcPr>
          <w:p w:rsidR="00960863" w:rsidRDefault="00960863" w:rsidP="00684F6F">
            <w:pPr>
              <w:widowControl w:val="0"/>
              <w:spacing w:line="100" w:lineRule="atLeast"/>
              <w:rPr>
                <w:rFonts w:ascii="Times New Roman CYR" w:hAnsi="Times New Roman CYR" w:cs="Times New Roman CYR"/>
                <w:sz w:val="20"/>
                <w:szCs w:val="20"/>
              </w:rPr>
            </w:pPr>
            <w:r>
              <w:rPr>
                <w:rFonts w:ascii="Times New Roman CYR" w:eastAsia="Calibri" w:hAnsi="Times New Roman CYR" w:cs="Times New Roman CYR"/>
                <w:sz w:val="20"/>
                <w:szCs w:val="20"/>
              </w:rPr>
              <w:t>Описание в соответствии с КТРУ</w:t>
            </w:r>
          </w:p>
        </w:tc>
        <w:tc>
          <w:tcPr>
            <w:tcW w:w="1559" w:type="dxa"/>
            <w:tcBorders>
              <w:top w:val="nil"/>
            </w:tcBorders>
          </w:tcPr>
          <w:p w:rsidR="00960863" w:rsidRDefault="00960863" w:rsidP="00684F6F">
            <w:pPr>
              <w:widowControl w:val="0"/>
              <w:spacing w:line="100" w:lineRule="atLeast"/>
              <w:rPr>
                <w:rFonts w:ascii="Times New Roman CYR" w:hAnsi="Times New Roman CYR" w:cs="Times New Roman CYR"/>
                <w:sz w:val="20"/>
                <w:szCs w:val="20"/>
              </w:rPr>
            </w:pPr>
          </w:p>
          <w:p w:rsidR="00960863" w:rsidRDefault="00960863" w:rsidP="00684F6F">
            <w:pPr>
              <w:widowControl w:val="0"/>
              <w:rPr>
                <w:rFonts w:ascii="Times New Roman CYR" w:hAnsi="Times New Roman CYR" w:cs="Times New Roman CYR"/>
                <w:sz w:val="20"/>
                <w:szCs w:val="20"/>
              </w:rPr>
            </w:pPr>
          </w:p>
          <w:p w:rsidR="00960863" w:rsidRDefault="00960863" w:rsidP="00684F6F">
            <w:pPr>
              <w:widowControl w:val="0"/>
              <w:rPr>
                <w:rFonts w:ascii="Times New Roman CYR" w:hAnsi="Times New Roman CYR" w:cs="Times New Roman CYR"/>
                <w:sz w:val="20"/>
                <w:szCs w:val="20"/>
              </w:rPr>
            </w:pPr>
          </w:p>
          <w:p w:rsidR="00960863" w:rsidRDefault="00960863" w:rsidP="00684F6F">
            <w:pPr>
              <w:widowControl w:val="0"/>
              <w:rPr>
                <w:rFonts w:ascii="Times New Roman CYR" w:hAnsi="Times New Roman CYR" w:cs="Times New Roman CYR"/>
                <w:sz w:val="20"/>
                <w:szCs w:val="20"/>
              </w:rPr>
            </w:pPr>
          </w:p>
          <w:p w:rsidR="00960863" w:rsidRDefault="00960863" w:rsidP="00684F6F">
            <w:pPr>
              <w:widowControl w:val="0"/>
              <w:rPr>
                <w:rFonts w:ascii="Times New Roman CYR" w:hAnsi="Times New Roman CYR" w:cs="Times New Roman CYR"/>
                <w:sz w:val="20"/>
                <w:szCs w:val="20"/>
              </w:rPr>
            </w:pPr>
          </w:p>
          <w:p w:rsidR="00960863" w:rsidRDefault="00960863" w:rsidP="00684F6F">
            <w:pPr>
              <w:widowControl w:val="0"/>
              <w:rPr>
                <w:rFonts w:ascii="Times New Roman CYR" w:hAnsi="Times New Roman CYR" w:cs="Times New Roman CYR"/>
                <w:sz w:val="20"/>
                <w:szCs w:val="20"/>
              </w:rPr>
            </w:pPr>
            <w:r>
              <w:rPr>
                <w:rFonts w:ascii="Times New Roman CYR" w:eastAsia="Calibri" w:hAnsi="Times New Roman CYR" w:cs="Times New Roman CYR"/>
                <w:sz w:val="20"/>
                <w:szCs w:val="20"/>
              </w:rPr>
              <w:t>ОКПД2 / НКМИ</w:t>
            </w:r>
          </w:p>
        </w:tc>
        <w:tc>
          <w:tcPr>
            <w:tcW w:w="2824" w:type="dxa"/>
            <w:tcBorders>
              <w:top w:val="nil"/>
            </w:tcBorders>
          </w:tcPr>
          <w:p w:rsidR="00960863" w:rsidRDefault="00960863" w:rsidP="00684F6F">
            <w:pPr>
              <w:widowControl w:val="0"/>
              <w:spacing w:line="100" w:lineRule="atLeast"/>
              <w:jc w:val="center"/>
              <w:rPr>
                <w:rFonts w:ascii="Times New Roman CYR" w:hAnsi="Times New Roman CYR" w:cs="Times New Roman CYR"/>
                <w:sz w:val="20"/>
                <w:szCs w:val="20"/>
              </w:rPr>
            </w:pPr>
            <w:r>
              <w:rPr>
                <w:rFonts w:ascii="Times New Roman CYR" w:eastAsia="Calibri" w:hAnsi="Times New Roman CYR" w:cs="Times New Roman CYR"/>
                <w:sz w:val="20"/>
                <w:szCs w:val="20"/>
              </w:rPr>
              <w:t>Номер вида и наименование технического средства реабилитации (изделий)</w:t>
            </w:r>
            <w:r>
              <w:rPr>
                <w:rFonts w:ascii="Times New Roman CYR" w:eastAsia="Calibri" w:hAnsi="Times New Roman CYR" w:cs="Times New Roman CYR"/>
                <w:sz w:val="20"/>
                <w:szCs w:val="20"/>
                <w:vertAlign w:val="superscript"/>
              </w:rPr>
              <w:t>1</w:t>
            </w:r>
            <w:r>
              <w:rPr>
                <w:rFonts w:ascii="Times New Roman CYR" w:eastAsia="Calibri" w:hAnsi="Times New Roman CYR" w:cs="Times New Roman CY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p w:rsidR="00960863" w:rsidRDefault="00960863" w:rsidP="00684F6F">
            <w:pPr>
              <w:widowControl w:val="0"/>
              <w:jc w:val="center"/>
              <w:rPr>
                <w:rFonts w:ascii="Times New Roman CYR" w:hAnsi="Times New Roman CYR" w:cs="Times New Roman CYR"/>
                <w:sz w:val="20"/>
                <w:szCs w:val="20"/>
              </w:rPr>
            </w:pPr>
          </w:p>
        </w:tc>
        <w:tc>
          <w:tcPr>
            <w:tcW w:w="6339" w:type="dxa"/>
            <w:tcBorders>
              <w:top w:val="nil"/>
            </w:tcBorders>
            <w:vAlign w:val="center"/>
          </w:tcPr>
          <w:p w:rsidR="00960863" w:rsidRDefault="00960863" w:rsidP="00684F6F">
            <w:pPr>
              <w:widowControl w:val="0"/>
              <w:spacing w:line="100" w:lineRule="atLeast"/>
              <w:jc w:val="center"/>
              <w:rPr>
                <w:rFonts w:ascii="Times New Roman CYR" w:hAnsi="Times New Roman CYR" w:cs="Times New Roman CYR"/>
                <w:sz w:val="20"/>
                <w:szCs w:val="20"/>
              </w:rPr>
            </w:pPr>
            <w:r>
              <w:rPr>
                <w:rFonts w:ascii="Times New Roman CYR" w:eastAsia="Calibri" w:hAnsi="Times New Roman CYR" w:cs="Times New Roman CYR"/>
                <w:sz w:val="20"/>
                <w:szCs w:val="20"/>
              </w:rPr>
              <w:t>Технические и функциональные характеристики Товара</w:t>
            </w:r>
          </w:p>
        </w:tc>
        <w:tc>
          <w:tcPr>
            <w:tcW w:w="1604" w:type="dxa"/>
            <w:tcBorders>
              <w:top w:val="nil"/>
            </w:tcBorders>
            <w:vAlign w:val="center"/>
          </w:tcPr>
          <w:p w:rsidR="00960863" w:rsidRDefault="00960863" w:rsidP="00684F6F">
            <w:pPr>
              <w:widowControl w:val="0"/>
              <w:rPr>
                <w:rFonts w:ascii="Times New Roman CYR" w:hAnsi="Times New Roman CYR" w:cs="Times New Roman CYR"/>
                <w:sz w:val="20"/>
                <w:szCs w:val="20"/>
              </w:rPr>
            </w:pPr>
            <w:r>
              <w:rPr>
                <w:rFonts w:ascii="Times New Roman CYR" w:eastAsia="Calibri" w:hAnsi="Times New Roman CYR" w:cs="Times New Roman CYR"/>
                <w:sz w:val="20"/>
                <w:szCs w:val="20"/>
              </w:rPr>
              <w:t>Количество (шт.)</w:t>
            </w:r>
          </w:p>
        </w:tc>
      </w:tr>
      <w:tr w:rsidR="00960863" w:rsidTr="00684F6F">
        <w:tc>
          <w:tcPr>
            <w:tcW w:w="438"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1</w:t>
            </w:r>
          </w:p>
        </w:tc>
        <w:tc>
          <w:tcPr>
            <w:tcW w:w="1452"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2</w:t>
            </w:r>
          </w:p>
        </w:tc>
        <w:tc>
          <w:tcPr>
            <w:tcW w:w="709"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3</w:t>
            </w:r>
          </w:p>
        </w:tc>
        <w:tc>
          <w:tcPr>
            <w:tcW w:w="1559"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4</w:t>
            </w:r>
          </w:p>
        </w:tc>
        <w:tc>
          <w:tcPr>
            <w:tcW w:w="2824"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5</w:t>
            </w:r>
          </w:p>
        </w:tc>
        <w:tc>
          <w:tcPr>
            <w:tcW w:w="6339"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6</w:t>
            </w:r>
          </w:p>
        </w:tc>
        <w:tc>
          <w:tcPr>
            <w:tcW w:w="1604" w:type="dxa"/>
            <w:shd w:val="clear" w:color="auto" w:fill="F2F2F2" w:themeFill="background1" w:themeFillShade="F2"/>
          </w:tcPr>
          <w:p w:rsidR="00960863" w:rsidRDefault="00960863" w:rsidP="00684F6F">
            <w:pPr>
              <w:widowControl w:val="0"/>
              <w:jc w:val="center"/>
              <w:rPr>
                <w:rFonts w:ascii="Times New Roman CYR" w:hAnsi="Times New Roman CYR" w:cs="Times New Roman CYR"/>
                <w:b/>
                <w:sz w:val="20"/>
                <w:szCs w:val="20"/>
              </w:rPr>
            </w:pPr>
            <w:r>
              <w:rPr>
                <w:rFonts w:ascii="Times New Roman CYR" w:eastAsia="Calibri" w:hAnsi="Times New Roman CYR" w:cs="Times New Roman CYR"/>
                <w:b/>
                <w:sz w:val="20"/>
                <w:szCs w:val="20"/>
              </w:rPr>
              <w:t>7</w:t>
            </w:r>
          </w:p>
        </w:tc>
      </w:tr>
      <w:tr w:rsidR="00960863" w:rsidTr="00920D37">
        <w:trPr>
          <w:trHeight w:val="1562"/>
        </w:trPr>
        <w:tc>
          <w:tcPr>
            <w:tcW w:w="438" w:type="dxa"/>
          </w:tcPr>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lang w:val="en-US"/>
              </w:rPr>
            </w:pPr>
            <w:r w:rsidRPr="005B641E">
              <w:rPr>
                <w:rFonts w:ascii="Times New Roman" w:eastAsia="Calibri" w:hAnsi="Times New Roman" w:cs="Times New Roman"/>
                <w:b/>
                <w:color w:val="000000"/>
                <w:sz w:val="24"/>
                <w:szCs w:val="24"/>
                <w:lang w:val="en-US"/>
              </w:rPr>
              <w:t>1</w:t>
            </w:r>
          </w:p>
        </w:tc>
        <w:tc>
          <w:tcPr>
            <w:tcW w:w="1452" w:type="dxa"/>
          </w:tcPr>
          <w:p w:rsidR="00960863" w:rsidRPr="005B641E" w:rsidRDefault="00960863" w:rsidP="00684F6F">
            <w:pPr>
              <w:widowControl w:val="0"/>
              <w:jc w:val="both"/>
              <w:rPr>
                <w:rFonts w:ascii="Times New Roman CYR" w:hAnsi="Times New Roman CYR" w:cs="Times New Roman CYR"/>
                <w:sz w:val="24"/>
                <w:szCs w:val="24"/>
              </w:rPr>
            </w:pPr>
            <w:r w:rsidRPr="005B641E">
              <w:rPr>
                <w:rFonts w:ascii="Times New Roman CYR" w:eastAsia="Calibri" w:hAnsi="Times New Roman CYR" w:cs="Times New Roman CYR"/>
                <w:sz w:val="24"/>
                <w:szCs w:val="24"/>
              </w:rPr>
              <w:t xml:space="preserve">Наборы-мочеприемники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мешок-мочеприемник, катетер </w:t>
            </w:r>
            <w:proofErr w:type="spellStart"/>
            <w:r w:rsidRPr="005B641E">
              <w:rPr>
                <w:rFonts w:ascii="Times New Roman CYR" w:eastAsia="Calibri" w:hAnsi="Times New Roman CYR" w:cs="Times New Roman CYR"/>
                <w:sz w:val="24"/>
                <w:szCs w:val="24"/>
              </w:rPr>
              <w:lastRenderedPageBreak/>
              <w:t>лубрицированный</w:t>
            </w:r>
            <w:proofErr w:type="spellEnd"/>
            <w:r w:rsidRPr="005B641E">
              <w:rPr>
                <w:rFonts w:ascii="Times New Roman CYR" w:eastAsia="Calibri" w:hAnsi="Times New Roman CYR" w:cs="Times New Roman CYR"/>
                <w:sz w:val="24"/>
                <w:szCs w:val="24"/>
              </w:rPr>
              <w:t xml:space="preserve">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w:t>
            </w:r>
            <w:proofErr w:type="gramStart"/>
            <w:r w:rsidRPr="005B641E">
              <w:rPr>
                <w:rFonts w:ascii="Times New Roman CYR" w:eastAsia="Calibri" w:hAnsi="Times New Roman CYR" w:cs="Times New Roman CYR"/>
                <w:sz w:val="24"/>
                <w:szCs w:val="24"/>
              </w:rPr>
              <w:t>КТРУ  отсутствует</w:t>
            </w:r>
            <w:proofErr w:type="gramEnd"/>
            <w:r w:rsidRPr="005B641E">
              <w:rPr>
                <w:rFonts w:ascii="Times New Roman CYR" w:eastAsia="Calibri" w:hAnsi="Times New Roman CYR" w:cs="Times New Roman CYR"/>
                <w:sz w:val="24"/>
                <w:szCs w:val="24"/>
              </w:rPr>
              <w:t>)</w:t>
            </w:r>
          </w:p>
        </w:tc>
        <w:tc>
          <w:tcPr>
            <w:tcW w:w="709" w:type="dxa"/>
          </w:tcPr>
          <w:p w:rsidR="00960863" w:rsidRPr="005B641E" w:rsidRDefault="00960863" w:rsidP="00684F6F">
            <w:pPr>
              <w:widowControl w:val="0"/>
              <w:jc w:val="both"/>
              <w:rPr>
                <w:rFonts w:ascii="Times New Roman CYR" w:hAnsi="Times New Roman CYR" w:cs="Times New Roman CYR"/>
                <w:sz w:val="24"/>
                <w:szCs w:val="24"/>
              </w:rPr>
            </w:pPr>
            <w:r w:rsidRPr="005B641E">
              <w:rPr>
                <w:rFonts w:ascii="Times New Roman CYR" w:eastAsia="Calibri" w:hAnsi="Times New Roman CYR" w:cs="Times New Roman CYR"/>
                <w:sz w:val="24"/>
                <w:szCs w:val="24"/>
              </w:rPr>
              <w:lastRenderedPageBreak/>
              <w:t>Сведения отсутствуют</w:t>
            </w:r>
          </w:p>
        </w:tc>
        <w:tc>
          <w:tcPr>
            <w:tcW w:w="1559" w:type="dxa"/>
          </w:tcPr>
          <w:p w:rsidR="00960863" w:rsidRPr="005B641E" w:rsidRDefault="00960863" w:rsidP="00684F6F">
            <w:pPr>
              <w:widowControl w:val="0"/>
              <w:jc w:val="center"/>
              <w:rPr>
                <w:rFonts w:ascii="Times New Roman CYR" w:hAnsi="Times New Roman CYR" w:cs="Times New Roman CYR"/>
                <w:sz w:val="24"/>
                <w:szCs w:val="24"/>
              </w:rPr>
            </w:pPr>
            <w:r w:rsidRPr="005B641E">
              <w:rPr>
                <w:rFonts w:ascii="Times New Roman CYR" w:eastAsia="Calibri" w:hAnsi="Times New Roman CYR" w:cs="Times New Roman CYR"/>
                <w:sz w:val="24"/>
                <w:szCs w:val="24"/>
              </w:rPr>
              <w:t>ОКПД2 32.50.13.190</w:t>
            </w:r>
          </w:p>
        </w:tc>
        <w:tc>
          <w:tcPr>
            <w:tcW w:w="2824" w:type="dxa"/>
          </w:tcPr>
          <w:p w:rsidR="00960863" w:rsidRPr="005B641E" w:rsidRDefault="00960863" w:rsidP="00684F6F">
            <w:pPr>
              <w:widowControl w:val="0"/>
              <w:jc w:val="center"/>
              <w:rPr>
                <w:rFonts w:ascii="Times New Roman CYR" w:hAnsi="Times New Roman CYR" w:cs="Times New Roman CYR"/>
                <w:sz w:val="24"/>
                <w:szCs w:val="24"/>
              </w:rPr>
            </w:pPr>
            <w:r w:rsidRPr="005B641E">
              <w:rPr>
                <w:rFonts w:ascii="Times New Roman CYR" w:eastAsia="Calibri" w:hAnsi="Times New Roman CYR" w:cs="Times New Roman CYR"/>
                <w:sz w:val="24"/>
                <w:szCs w:val="24"/>
              </w:rPr>
              <w:t xml:space="preserve">21-01-21 Наборы-мочеприемники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мешок-мочеприемник, катетер </w:t>
            </w:r>
            <w:proofErr w:type="spellStart"/>
            <w:r w:rsidRPr="005B641E">
              <w:rPr>
                <w:rFonts w:ascii="Times New Roman CYR" w:eastAsia="Calibri" w:hAnsi="Times New Roman CYR" w:cs="Times New Roman CYR"/>
                <w:sz w:val="24"/>
                <w:szCs w:val="24"/>
              </w:rPr>
              <w:t>лубрицированный</w:t>
            </w:r>
            <w:proofErr w:type="spellEnd"/>
            <w:r w:rsidRPr="005B641E">
              <w:rPr>
                <w:rFonts w:ascii="Times New Roman CYR" w:eastAsia="Calibri" w:hAnsi="Times New Roman CYR" w:cs="Times New Roman CYR"/>
                <w:sz w:val="24"/>
                <w:szCs w:val="24"/>
              </w:rPr>
              <w:t xml:space="preserve"> для </w:t>
            </w:r>
            <w:proofErr w:type="spellStart"/>
            <w:r w:rsidRPr="005B641E">
              <w:rPr>
                <w:rFonts w:ascii="Times New Roman CYR" w:eastAsia="Calibri" w:hAnsi="Times New Roman CYR" w:cs="Times New Roman CYR"/>
                <w:sz w:val="24"/>
                <w:szCs w:val="24"/>
              </w:rPr>
              <w:t>самокатетеризации</w:t>
            </w:r>
            <w:proofErr w:type="spellEnd"/>
          </w:p>
        </w:tc>
        <w:tc>
          <w:tcPr>
            <w:tcW w:w="6339" w:type="dxa"/>
          </w:tcPr>
          <w:p w:rsidR="00960863" w:rsidRPr="005B641E" w:rsidRDefault="00960863" w:rsidP="00920D37">
            <w:pPr>
              <w:suppressAutoHyphens w:val="0"/>
              <w:autoSpaceDE w:val="0"/>
              <w:autoSpaceDN w:val="0"/>
              <w:adjustRightInd w:val="0"/>
              <w:jc w:val="both"/>
              <w:rPr>
                <w:rFonts w:ascii="Times New Roman CYR" w:hAnsi="Times New Roman CYR" w:cs="Times New Roman CYR"/>
                <w:sz w:val="24"/>
                <w:szCs w:val="24"/>
              </w:rPr>
            </w:pPr>
            <w:r w:rsidRPr="00E57249">
              <w:rPr>
                <w:rFonts w:ascii="Times New Roman CYR" w:eastAsia="Calibri" w:hAnsi="Times New Roman CYR" w:cs="Times New Roman CYR"/>
                <w:color w:val="000000"/>
                <w:sz w:val="24"/>
                <w:szCs w:val="24"/>
              </w:rPr>
              <w:t xml:space="preserve">Набор для </w:t>
            </w:r>
            <w:proofErr w:type="spellStart"/>
            <w:r w:rsidRPr="00E57249">
              <w:rPr>
                <w:rFonts w:ascii="Times New Roman CYR" w:eastAsia="Calibri" w:hAnsi="Times New Roman CYR" w:cs="Times New Roman CYR"/>
                <w:color w:val="000000"/>
                <w:sz w:val="24"/>
                <w:szCs w:val="24"/>
              </w:rPr>
              <w:t>самокатетеризации</w:t>
            </w:r>
            <w:proofErr w:type="spellEnd"/>
            <w:r w:rsidRPr="00E57249">
              <w:rPr>
                <w:rFonts w:ascii="Times New Roman CYR" w:eastAsia="Calibri" w:hAnsi="Times New Roman CYR" w:cs="Times New Roman CYR"/>
                <w:color w:val="000000"/>
                <w:sz w:val="24"/>
                <w:szCs w:val="24"/>
              </w:rPr>
              <w:t xml:space="preserve"> (Женский) для периодической </w:t>
            </w:r>
            <w:proofErr w:type="spellStart"/>
            <w:r w:rsidRPr="00E57249">
              <w:rPr>
                <w:rFonts w:ascii="Times New Roman CYR" w:eastAsia="Calibri" w:hAnsi="Times New Roman CYR" w:cs="Times New Roman CYR"/>
                <w:color w:val="000000"/>
                <w:sz w:val="24"/>
                <w:szCs w:val="24"/>
              </w:rPr>
              <w:t>самокатетеризации</w:t>
            </w:r>
            <w:proofErr w:type="spellEnd"/>
            <w:r w:rsidRPr="00E57249">
              <w:rPr>
                <w:rFonts w:ascii="Times New Roman CYR" w:eastAsia="Calibri" w:hAnsi="Times New Roman CYR" w:cs="Times New Roman CYR"/>
                <w:color w:val="000000"/>
                <w:sz w:val="24"/>
                <w:szCs w:val="24"/>
              </w:rPr>
              <w:t xml:space="preserve">, который состоит из </w:t>
            </w:r>
            <w:proofErr w:type="spellStart"/>
            <w:r w:rsidRPr="00E57249">
              <w:rPr>
                <w:rFonts w:ascii="Times New Roman CYR" w:eastAsia="Calibri" w:hAnsi="Times New Roman CYR" w:cs="Times New Roman CYR"/>
                <w:color w:val="000000"/>
                <w:sz w:val="24"/>
                <w:szCs w:val="24"/>
              </w:rPr>
              <w:t>лубрицированного</w:t>
            </w:r>
            <w:proofErr w:type="spellEnd"/>
            <w:r w:rsidRPr="00E57249">
              <w:rPr>
                <w:rFonts w:ascii="Times New Roman CYR" w:eastAsia="Calibri" w:hAnsi="Times New Roman CYR" w:cs="Times New Roman CYR"/>
                <w:color w:val="000000"/>
                <w:sz w:val="24"/>
                <w:szCs w:val="24"/>
              </w:rPr>
              <w:t xml:space="preserve"> катетера</w:t>
            </w:r>
            <w:r w:rsidR="004804D7">
              <w:rPr>
                <w:rFonts w:ascii="Times New Roman CYR" w:eastAsia="Calibri" w:hAnsi="Times New Roman CYR" w:cs="Times New Roman CYR"/>
                <w:color w:val="000000"/>
                <w:sz w:val="24"/>
                <w:szCs w:val="24"/>
              </w:rPr>
              <w:t>,</w:t>
            </w:r>
            <w:r w:rsidR="004804D7" w:rsidRPr="00E57249">
              <w:rPr>
                <w:rFonts w:ascii="Times New Roman CYR" w:eastAsia="Calibri" w:hAnsi="Times New Roman CYR" w:cs="Times New Roman CYR"/>
                <w:color w:val="000000"/>
                <w:sz w:val="24"/>
                <w:szCs w:val="24"/>
              </w:rPr>
              <w:t xml:space="preserve"> соединенного с ним мочеприемника (мешка)</w:t>
            </w:r>
            <w:r w:rsidR="004804D7">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Специальная упаковка набора позволяет проводить </w:t>
            </w:r>
            <w:proofErr w:type="gramStart"/>
            <w:r w:rsidRPr="00E57249">
              <w:rPr>
                <w:rFonts w:ascii="Times New Roman CYR" w:eastAsia="Calibri" w:hAnsi="Times New Roman CYR" w:cs="Times New Roman CYR"/>
                <w:color w:val="000000"/>
                <w:sz w:val="24"/>
                <w:szCs w:val="24"/>
              </w:rPr>
              <w:t>катетеризацию</w:t>
            </w:r>
            <w:proofErr w:type="gramEnd"/>
            <w:r w:rsidRPr="00E57249">
              <w:rPr>
                <w:rFonts w:ascii="Times New Roman CYR" w:eastAsia="Calibri" w:hAnsi="Times New Roman CYR" w:cs="Times New Roman CYR"/>
                <w:color w:val="000000"/>
                <w:sz w:val="24"/>
                <w:szCs w:val="24"/>
              </w:rPr>
              <w:t xml:space="preserve"> не касаясь катетера руками. Мочеприемник объемом не менее 750 мл и не более 1000 мл с нанесенной градуировкой, с </w:t>
            </w:r>
            <w:proofErr w:type="spellStart"/>
            <w:r w:rsidRPr="00E57249">
              <w:rPr>
                <w:rFonts w:ascii="Times New Roman CYR" w:eastAsia="Calibri" w:hAnsi="Times New Roman CYR" w:cs="Times New Roman CYR"/>
                <w:color w:val="000000"/>
                <w:sz w:val="24"/>
                <w:szCs w:val="24"/>
              </w:rPr>
              <w:t>антирефлюксным</w:t>
            </w:r>
            <w:proofErr w:type="spellEnd"/>
            <w:r w:rsidRPr="00E57249">
              <w:rPr>
                <w:rFonts w:ascii="Times New Roman CYR" w:eastAsia="Calibri" w:hAnsi="Times New Roman CYR" w:cs="Times New Roman CYR"/>
                <w:color w:val="000000"/>
                <w:sz w:val="24"/>
                <w:szCs w:val="24"/>
              </w:rPr>
              <w:t xml:space="preserve">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типа </w:t>
            </w:r>
            <w:proofErr w:type="spellStart"/>
            <w:r w:rsidRPr="00E57249">
              <w:rPr>
                <w:rFonts w:ascii="Times New Roman CYR" w:eastAsia="Calibri" w:hAnsi="Times New Roman CYR" w:cs="Times New Roman CYR"/>
                <w:color w:val="000000"/>
                <w:sz w:val="24"/>
                <w:szCs w:val="24"/>
              </w:rPr>
              <w:t>Нелатон</w:t>
            </w:r>
            <w:proofErr w:type="spellEnd"/>
            <w:r w:rsidRPr="00E57249">
              <w:rPr>
                <w:rFonts w:ascii="Times New Roman CYR" w:eastAsia="Calibri" w:hAnsi="Times New Roman CYR" w:cs="Times New Roman CYR"/>
                <w:color w:val="000000"/>
                <w:sz w:val="24"/>
                <w:szCs w:val="24"/>
              </w:rPr>
              <w:t xml:space="preserve">. Размер по </w:t>
            </w:r>
            <w:proofErr w:type="spellStart"/>
            <w:r w:rsidRPr="00E57249">
              <w:rPr>
                <w:rFonts w:ascii="Times New Roman CYR" w:eastAsia="Calibri" w:hAnsi="Times New Roman CYR" w:cs="Times New Roman CYR"/>
                <w:color w:val="000000"/>
                <w:sz w:val="24"/>
                <w:szCs w:val="24"/>
              </w:rPr>
              <w:t>Шарьеру</w:t>
            </w:r>
            <w:proofErr w:type="spellEnd"/>
            <w:r w:rsidRPr="00E57249">
              <w:rPr>
                <w:rFonts w:ascii="Times New Roman CYR" w:eastAsia="Calibri" w:hAnsi="Times New Roman CYR" w:cs="Times New Roman CYR"/>
                <w:color w:val="000000"/>
                <w:sz w:val="24"/>
                <w:szCs w:val="24"/>
              </w:rPr>
              <w:t xml:space="preserve">: от 08 </w:t>
            </w:r>
            <w:proofErr w:type="spellStart"/>
            <w:r w:rsidRPr="00E57249">
              <w:rPr>
                <w:rFonts w:ascii="Times New Roman CYR" w:eastAsia="Calibri" w:hAnsi="Times New Roman CYR" w:cs="Times New Roman CYR"/>
                <w:color w:val="000000"/>
                <w:sz w:val="24"/>
                <w:szCs w:val="24"/>
              </w:rPr>
              <w:t>ch</w:t>
            </w:r>
            <w:proofErr w:type="spellEnd"/>
            <w:r w:rsidRPr="00E57249">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lastRenderedPageBreak/>
              <w:t xml:space="preserve">(включительно) до 16 </w:t>
            </w:r>
            <w:proofErr w:type="spellStart"/>
            <w:r w:rsidRPr="00E57249">
              <w:rPr>
                <w:rFonts w:ascii="Times New Roman CYR" w:eastAsia="Calibri" w:hAnsi="Times New Roman CYR" w:cs="Times New Roman CYR"/>
                <w:color w:val="000000"/>
                <w:sz w:val="24"/>
                <w:szCs w:val="24"/>
              </w:rPr>
              <w:t>ch</w:t>
            </w:r>
            <w:proofErr w:type="spellEnd"/>
            <w:r w:rsidRPr="00E57249">
              <w:rPr>
                <w:rFonts w:ascii="Times New Roman CYR" w:eastAsia="Calibri" w:hAnsi="Times New Roman CYR" w:cs="Times New Roman CYR"/>
                <w:color w:val="000000"/>
                <w:sz w:val="24"/>
                <w:szCs w:val="24"/>
              </w:rPr>
              <w:t xml:space="preserve"> (включительно) (в зависимости от антропометрических данных пациента). Длина катетера не менее 18 см (включительно)</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 в индивидуальной упаковке. </w:t>
            </w:r>
          </w:p>
        </w:tc>
        <w:tc>
          <w:tcPr>
            <w:tcW w:w="1604" w:type="dxa"/>
          </w:tcPr>
          <w:p w:rsidR="003E4286" w:rsidRDefault="003E4286" w:rsidP="00684F6F">
            <w:pPr>
              <w:widowControl w:val="0"/>
              <w:jc w:val="center"/>
              <w:rPr>
                <w:rFonts w:ascii="Times New Roman" w:hAnsi="Times New Roman" w:cs="Times New Roman"/>
                <w:sz w:val="24"/>
                <w:szCs w:val="24"/>
              </w:rPr>
            </w:pPr>
          </w:p>
          <w:p w:rsidR="00EF04ED" w:rsidRDefault="00EF04ED" w:rsidP="00684F6F">
            <w:pPr>
              <w:widowControl w:val="0"/>
              <w:jc w:val="center"/>
              <w:rPr>
                <w:rFonts w:ascii="Times New Roman" w:hAnsi="Times New Roman" w:cs="Times New Roman"/>
                <w:sz w:val="24"/>
                <w:szCs w:val="24"/>
              </w:rPr>
            </w:pPr>
          </w:p>
          <w:p w:rsidR="00EF04ED" w:rsidRPr="00DB1EC6" w:rsidRDefault="00A15D2D" w:rsidP="00A15D2D">
            <w:pPr>
              <w:widowControl w:val="0"/>
              <w:jc w:val="center"/>
              <w:rPr>
                <w:rFonts w:ascii="Times New Roman" w:hAnsi="Times New Roman" w:cs="Times New Roman"/>
                <w:sz w:val="24"/>
                <w:szCs w:val="24"/>
              </w:rPr>
            </w:pPr>
            <w:r>
              <w:rPr>
                <w:rFonts w:ascii="Times New Roman" w:hAnsi="Times New Roman" w:cs="Times New Roman"/>
                <w:sz w:val="24"/>
                <w:szCs w:val="24"/>
              </w:rPr>
              <w:t>699</w:t>
            </w:r>
            <w:r w:rsidR="00AF0009">
              <w:rPr>
                <w:rFonts w:ascii="Times New Roman" w:hAnsi="Times New Roman" w:cs="Times New Roman"/>
                <w:sz w:val="24"/>
                <w:szCs w:val="24"/>
              </w:rPr>
              <w:t>0</w:t>
            </w:r>
          </w:p>
        </w:tc>
      </w:tr>
      <w:tr w:rsidR="00960863" w:rsidTr="00684F6F">
        <w:tc>
          <w:tcPr>
            <w:tcW w:w="438" w:type="dxa"/>
          </w:tcPr>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5B641E" w:rsidRDefault="00960863" w:rsidP="00684F6F">
            <w:pPr>
              <w:widowControl w:val="0"/>
              <w:rPr>
                <w:rFonts w:ascii="Times New Roman" w:hAnsi="Times New Roman" w:cs="Times New Roman"/>
                <w:b/>
                <w:sz w:val="24"/>
                <w:szCs w:val="24"/>
              </w:rPr>
            </w:pPr>
          </w:p>
          <w:p w:rsidR="00960863" w:rsidRPr="009C4C65" w:rsidRDefault="00960863" w:rsidP="00684F6F">
            <w:pPr>
              <w:widowControl w:val="0"/>
              <w:rPr>
                <w:rFonts w:ascii="Times New Roman" w:hAnsi="Times New Roman" w:cs="Times New Roman"/>
                <w:b/>
                <w:sz w:val="24"/>
                <w:szCs w:val="24"/>
              </w:rPr>
            </w:pPr>
            <w:r w:rsidRPr="009C4C65">
              <w:rPr>
                <w:rFonts w:ascii="Times New Roman" w:eastAsia="Calibri" w:hAnsi="Times New Roman" w:cs="Times New Roman"/>
                <w:b/>
                <w:sz w:val="24"/>
                <w:szCs w:val="24"/>
              </w:rPr>
              <w:t>2</w:t>
            </w:r>
          </w:p>
        </w:tc>
        <w:tc>
          <w:tcPr>
            <w:tcW w:w="1452" w:type="dxa"/>
          </w:tcPr>
          <w:p w:rsidR="00960863" w:rsidRPr="005B641E" w:rsidRDefault="00960863" w:rsidP="00684F6F">
            <w:pPr>
              <w:widowControl w:val="0"/>
              <w:jc w:val="both"/>
              <w:rPr>
                <w:rFonts w:ascii="Times New Roman CYR" w:hAnsi="Times New Roman CYR" w:cs="Times New Roman CYR"/>
                <w:sz w:val="24"/>
                <w:szCs w:val="24"/>
              </w:rPr>
            </w:pPr>
            <w:r w:rsidRPr="005B641E">
              <w:rPr>
                <w:rFonts w:ascii="Times New Roman CYR" w:eastAsia="Calibri" w:hAnsi="Times New Roman CYR" w:cs="Times New Roman CYR"/>
                <w:sz w:val="24"/>
                <w:szCs w:val="24"/>
              </w:rPr>
              <w:t xml:space="preserve">Наборы-мочеприемники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мешок-мочеприемник, катетер </w:t>
            </w:r>
            <w:proofErr w:type="spellStart"/>
            <w:r w:rsidRPr="005B641E">
              <w:rPr>
                <w:rFonts w:ascii="Times New Roman CYR" w:eastAsia="Calibri" w:hAnsi="Times New Roman CYR" w:cs="Times New Roman CYR"/>
                <w:sz w:val="24"/>
                <w:szCs w:val="24"/>
              </w:rPr>
              <w:t>лубрицированный</w:t>
            </w:r>
            <w:proofErr w:type="spellEnd"/>
            <w:r w:rsidRPr="005B641E">
              <w:rPr>
                <w:rFonts w:ascii="Times New Roman CYR" w:eastAsia="Calibri" w:hAnsi="Times New Roman CYR" w:cs="Times New Roman CYR"/>
                <w:sz w:val="24"/>
                <w:szCs w:val="24"/>
              </w:rPr>
              <w:t xml:space="preserve">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w:t>
            </w:r>
            <w:proofErr w:type="gramStart"/>
            <w:r w:rsidRPr="005B641E">
              <w:rPr>
                <w:rFonts w:ascii="Times New Roman CYR" w:eastAsia="Calibri" w:hAnsi="Times New Roman CYR" w:cs="Times New Roman CYR"/>
                <w:sz w:val="24"/>
                <w:szCs w:val="24"/>
              </w:rPr>
              <w:t>КТРУ  отсутствует</w:t>
            </w:r>
            <w:proofErr w:type="gramEnd"/>
            <w:r w:rsidRPr="005B641E">
              <w:rPr>
                <w:rFonts w:ascii="Times New Roman CYR" w:eastAsia="Calibri" w:hAnsi="Times New Roman CYR" w:cs="Times New Roman CYR"/>
                <w:sz w:val="24"/>
                <w:szCs w:val="24"/>
              </w:rPr>
              <w:t>)</w:t>
            </w:r>
          </w:p>
        </w:tc>
        <w:tc>
          <w:tcPr>
            <w:tcW w:w="709" w:type="dxa"/>
          </w:tcPr>
          <w:p w:rsidR="00960863" w:rsidRPr="005B641E" w:rsidRDefault="00960863" w:rsidP="00684F6F">
            <w:pPr>
              <w:widowControl w:val="0"/>
              <w:jc w:val="both"/>
              <w:rPr>
                <w:rFonts w:ascii="Times New Roman CYR" w:hAnsi="Times New Roman CYR" w:cs="Times New Roman CYR"/>
                <w:sz w:val="24"/>
                <w:szCs w:val="24"/>
              </w:rPr>
            </w:pPr>
            <w:r w:rsidRPr="005B641E">
              <w:rPr>
                <w:rFonts w:ascii="Times New Roman CYR" w:eastAsia="Calibri" w:hAnsi="Times New Roman CYR" w:cs="Times New Roman CYR"/>
                <w:sz w:val="24"/>
                <w:szCs w:val="24"/>
              </w:rPr>
              <w:t>Сведения отсутствуют</w:t>
            </w:r>
          </w:p>
        </w:tc>
        <w:tc>
          <w:tcPr>
            <w:tcW w:w="1559" w:type="dxa"/>
          </w:tcPr>
          <w:p w:rsidR="00960863" w:rsidRPr="005B641E" w:rsidRDefault="00960863" w:rsidP="00684F6F">
            <w:pPr>
              <w:widowControl w:val="0"/>
              <w:jc w:val="center"/>
              <w:rPr>
                <w:rFonts w:ascii="Times New Roman CYR" w:hAnsi="Times New Roman CYR" w:cs="Times New Roman CYR"/>
                <w:sz w:val="24"/>
                <w:szCs w:val="24"/>
              </w:rPr>
            </w:pPr>
            <w:r w:rsidRPr="005B641E">
              <w:rPr>
                <w:rFonts w:ascii="Times New Roman CYR" w:eastAsia="Calibri" w:hAnsi="Times New Roman CYR" w:cs="Times New Roman CYR"/>
                <w:sz w:val="24"/>
                <w:szCs w:val="24"/>
              </w:rPr>
              <w:t>ОКПД2 32.50.13.190</w:t>
            </w:r>
          </w:p>
        </w:tc>
        <w:tc>
          <w:tcPr>
            <w:tcW w:w="2824" w:type="dxa"/>
          </w:tcPr>
          <w:p w:rsidR="00960863" w:rsidRPr="005B641E" w:rsidRDefault="00960863" w:rsidP="00684F6F">
            <w:pPr>
              <w:widowControl w:val="0"/>
              <w:jc w:val="center"/>
              <w:rPr>
                <w:rFonts w:ascii="Times New Roman CYR" w:hAnsi="Times New Roman CYR" w:cs="Times New Roman CYR"/>
                <w:sz w:val="24"/>
                <w:szCs w:val="24"/>
              </w:rPr>
            </w:pPr>
            <w:r w:rsidRPr="005B641E">
              <w:rPr>
                <w:rFonts w:ascii="Times New Roman CYR" w:eastAsia="Calibri" w:hAnsi="Times New Roman CYR" w:cs="Times New Roman CYR"/>
                <w:sz w:val="24"/>
                <w:szCs w:val="24"/>
              </w:rPr>
              <w:t xml:space="preserve">21-01-21 Наборы-мочеприемники для </w:t>
            </w:r>
            <w:proofErr w:type="spellStart"/>
            <w:r w:rsidRPr="005B641E">
              <w:rPr>
                <w:rFonts w:ascii="Times New Roman CYR" w:eastAsia="Calibri" w:hAnsi="Times New Roman CYR" w:cs="Times New Roman CYR"/>
                <w:sz w:val="24"/>
                <w:szCs w:val="24"/>
              </w:rPr>
              <w:t>самокатетеризации</w:t>
            </w:r>
            <w:proofErr w:type="spellEnd"/>
            <w:r w:rsidRPr="005B641E">
              <w:rPr>
                <w:rFonts w:ascii="Times New Roman CYR" w:eastAsia="Calibri" w:hAnsi="Times New Roman CYR" w:cs="Times New Roman CYR"/>
                <w:sz w:val="24"/>
                <w:szCs w:val="24"/>
              </w:rPr>
              <w:t xml:space="preserve">: мешок-мочеприемник, катетер </w:t>
            </w:r>
            <w:proofErr w:type="spellStart"/>
            <w:r w:rsidRPr="005B641E">
              <w:rPr>
                <w:rFonts w:ascii="Times New Roman CYR" w:eastAsia="Calibri" w:hAnsi="Times New Roman CYR" w:cs="Times New Roman CYR"/>
                <w:sz w:val="24"/>
                <w:szCs w:val="24"/>
              </w:rPr>
              <w:t>лубрицированный</w:t>
            </w:r>
            <w:proofErr w:type="spellEnd"/>
            <w:r w:rsidRPr="005B641E">
              <w:rPr>
                <w:rFonts w:ascii="Times New Roman CYR" w:eastAsia="Calibri" w:hAnsi="Times New Roman CYR" w:cs="Times New Roman CYR"/>
                <w:sz w:val="24"/>
                <w:szCs w:val="24"/>
              </w:rPr>
              <w:t xml:space="preserve"> для </w:t>
            </w:r>
            <w:proofErr w:type="spellStart"/>
            <w:r w:rsidRPr="005B641E">
              <w:rPr>
                <w:rFonts w:ascii="Times New Roman CYR" w:eastAsia="Calibri" w:hAnsi="Times New Roman CYR" w:cs="Times New Roman CYR"/>
                <w:sz w:val="24"/>
                <w:szCs w:val="24"/>
              </w:rPr>
              <w:t>самокатетеризации</w:t>
            </w:r>
            <w:proofErr w:type="spellEnd"/>
          </w:p>
        </w:tc>
        <w:tc>
          <w:tcPr>
            <w:tcW w:w="6339" w:type="dxa"/>
          </w:tcPr>
          <w:p w:rsidR="00960863" w:rsidRPr="005B641E" w:rsidRDefault="00960863" w:rsidP="004804D7">
            <w:pPr>
              <w:widowControl w:val="0"/>
              <w:jc w:val="both"/>
              <w:rPr>
                <w:rFonts w:ascii="Times New Roman CYR" w:hAnsi="Times New Roman CYR" w:cs="Times New Roman CYR"/>
                <w:sz w:val="24"/>
                <w:szCs w:val="24"/>
              </w:rPr>
            </w:pPr>
            <w:r w:rsidRPr="00E57249">
              <w:rPr>
                <w:rFonts w:ascii="Times New Roman CYR" w:eastAsia="Calibri" w:hAnsi="Times New Roman CYR" w:cs="Times New Roman CYR"/>
                <w:color w:val="000000"/>
                <w:sz w:val="24"/>
                <w:szCs w:val="24"/>
              </w:rPr>
              <w:t xml:space="preserve">Набор для </w:t>
            </w:r>
            <w:proofErr w:type="spellStart"/>
            <w:r w:rsidRPr="00E57249">
              <w:rPr>
                <w:rFonts w:ascii="Times New Roman CYR" w:eastAsia="Calibri" w:hAnsi="Times New Roman CYR" w:cs="Times New Roman CYR"/>
                <w:color w:val="000000"/>
                <w:sz w:val="24"/>
                <w:szCs w:val="24"/>
              </w:rPr>
              <w:t>самокатетеризации</w:t>
            </w:r>
            <w:proofErr w:type="spellEnd"/>
            <w:r w:rsidRPr="00E57249">
              <w:rPr>
                <w:rFonts w:ascii="Times New Roman CYR" w:eastAsia="Calibri" w:hAnsi="Times New Roman CYR" w:cs="Times New Roman CYR"/>
                <w:color w:val="000000"/>
                <w:sz w:val="24"/>
                <w:szCs w:val="24"/>
              </w:rPr>
              <w:t xml:space="preserve"> (</w:t>
            </w:r>
            <w:r>
              <w:rPr>
                <w:rFonts w:ascii="Times New Roman CYR" w:eastAsia="Calibri" w:hAnsi="Times New Roman CYR" w:cs="Times New Roman CYR"/>
                <w:color w:val="000000"/>
                <w:sz w:val="24"/>
                <w:szCs w:val="24"/>
              </w:rPr>
              <w:t>Мужской</w:t>
            </w:r>
            <w:r w:rsidRPr="00E57249">
              <w:rPr>
                <w:rFonts w:ascii="Times New Roman CYR" w:eastAsia="Calibri" w:hAnsi="Times New Roman CYR" w:cs="Times New Roman CYR"/>
                <w:color w:val="000000"/>
                <w:sz w:val="24"/>
                <w:szCs w:val="24"/>
              </w:rPr>
              <w:t xml:space="preserve">) для периодической </w:t>
            </w:r>
            <w:proofErr w:type="spellStart"/>
            <w:r w:rsidRPr="00E57249">
              <w:rPr>
                <w:rFonts w:ascii="Times New Roman CYR" w:eastAsia="Calibri" w:hAnsi="Times New Roman CYR" w:cs="Times New Roman CYR"/>
                <w:color w:val="000000"/>
                <w:sz w:val="24"/>
                <w:szCs w:val="24"/>
              </w:rPr>
              <w:t>самокатетеризации</w:t>
            </w:r>
            <w:proofErr w:type="spellEnd"/>
            <w:r w:rsidRPr="00E57249">
              <w:rPr>
                <w:rFonts w:ascii="Times New Roman CYR" w:eastAsia="Calibri" w:hAnsi="Times New Roman CYR" w:cs="Times New Roman CYR"/>
                <w:color w:val="000000"/>
                <w:sz w:val="24"/>
                <w:szCs w:val="24"/>
              </w:rPr>
              <w:t xml:space="preserve">, который состоит из </w:t>
            </w:r>
            <w:proofErr w:type="spellStart"/>
            <w:r w:rsidRPr="00E57249">
              <w:rPr>
                <w:rFonts w:ascii="Times New Roman CYR" w:eastAsia="Calibri" w:hAnsi="Times New Roman CYR" w:cs="Times New Roman CYR"/>
                <w:color w:val="000000"/>
                <w:sz w:val="24"/>
                <w:szCs w:val="24"/>
              </w:rPr>
              <w:t>лубрицированного</w:t>
            </w:r>
            <w:proofErr w:type="spellEnd"/>
            <w:r w:rsidRPr="00E57249">
              <w:rPr>
                <w:rFonts w:ascii="Times New Roman CYR" w:eastAsia="Calibri" w:hAnsi="Times New Roman CYR" w:cs="Times New Roman CYR"/>
                <w:color w:val="000000"/>
                <w:sz w:val="24"/>
                <w:szCs w:val="24"/>
              </w:rPr>
              <w:t xml:space="preserve"> к</w:t>
            </w:r>
            <w:r w:rsidR="004804D7">
              <w:rPr>
                <w:rFonts w:ascii="Times New Roman CYR" w:eastAsia="Calibri" w:hAnsi="Times New Roman CYR" w:cs="Times New Roman CYR"/>
                <w:color w:val="000000"/>
                <w:sz w:val="24"/>
                <w:szCs w:val="24"/>
              </w:rPr>
              <w:t xml:space="preserve">атетера, </w:t>
            </w:r>
            <w:r w:rsidR="004804D7" w:rsidRPr="00E57249">
              <w:rPr>
                <w:rFonts w:ascii="Times New Roman CYR" w:eastAsia="Calibri" w:hAnsi="Times New Roman CYR" w:cs="Times New Roman CYR"/>
                <w:color w:val="000000"/>
                <w:sz w:val="24"/>
                <w:szCs w:val="24"/>
              </w:rPr>
              <w:t>соединенного с ним мочеприемника (мешка)</w:t>
            </w:r>
            <w:r w:rsidR="004804D7">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Специальная упаковка набора позволяет проводить </w:t>
            </w:r>
            <w:proofErr w:type="gramStart"/>
            <w:r w:rsidRPr="00E57249">
              <w:rPr>
                <w:rFonts w:ascii="Times New Roman CYR" w:eastAsia="Calibri" w:hAnsi="Times New Roman CYR" w:cs="Times New Roman CYR"/>
                <w:color w:val="000000"/>
                <w:sz w:val="24"/>
                <w:szCs w:val="24"/>
              </w:rPr>
              <w:t>катетеризацию</w:t>
            </w:r>
            <w:proofErr w:type="gramEnd"/>
            <w:r w:rsidRPr="00E57249">
              <w:rPr>
                <w:rFonts w:ascii="Times New Roman CYR" w:eastAsia="Calibri" w:hAnsi="Times New Roman CYR" w:cs="Times New Roman CYR"/>
                <w:color w:val="000000"/>
                <w:sz w:val="24"/>
                <w:szCs w:val="24"/>
              </w:rPr>
              <w:t xml:space="preserve"> не касаясь катетера руками. Мочеприемник объемом не менее 750 мл и не более 1000 мл с нанесенной градуировкой, с </w:t>
            </w:r>
            <w:proofErr w:type="spellStart"/>
            <w:r w:rsidRPr="00E57249">
              <w:rPr>
                <w:rFonts w:ascii="Times New Roman CYR" w:eastAsia="Calibri" w:hAnsi="Times New Roman CYR" w:cs="Times New Roman CYR"/>
                <w:color w:val="000000"/>
                <w:sz w:val="24"/>
                <w:szCs w:val="24"/>
              </w:rPr>
              <w:t>антирефлюксным</w:t>
            </w:r>
            <w:proofErr w:type="spellEnd"/>
            <w:r w:rsidRPr="00E57249">
              <w:rPr>
                <w:rFonts w:ascii="Times New Roman CYR" w:eastAsia="Calibri" w:hAnsi="Times New Roman CYR" w:cs="Times New Roman CYR"/>
                <w:color w:val="000000"/>
                <w:sz w:val="24"/>
                <w:szCs w:val="24"/>
              </w:rPr>
              <w:t xml:space="preserve">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типа </w:t>
            </w:r>
            <w:proofErr w:type="spellStart"/>
            <w:r w:rsidRPr="00E57249">
              <w:rPr>
                <w:rFonts w:ascii="Times New Roman CYR" w:eastAsia="Calibri" w:hAnsi="Times New Roman CYR" w:cs="Times New Roman CYR"/>
                <w:color w:val="000000"/>
                <w:sz w:val="24"/>
                <w:szCs w:val="24"/>
              </w:rPr>
              <w:t>Нелатон</w:t>
            </w:r>
            <w:proofErr w:type="spellEnd"/>
            <w:r w:rsidRPr="00E57249">
              <w:rPr>
                <w:rFonts w:ascii="Times New Roman CYR" w:eastAsia="Calibri" w:hAnsi="Times New Roman CYR" w:cs="Times New Roman CYR"/>
                <w:color w:val="000000"/>
                <w:sz w:val="24"/>
                <w:szCs w:val="24"/>
              </w:rPr>
              <w:t xml:space="preserve">. Размер по </w:t>
            </w:r>
            <w:proofErr w:type="spellStart"/>
            <w:r w:rsidRPr="00E57249">
              <w:rPr>
                <w:rFonts w:ascii="Times New Roman CYR" w:eastAsia="Calibri" w:hAnsi="Times New Roman CYR" w:cs="Times New Roman CYR"/>
                <w:color w:val="000000"/>
                <w:sz w:val="24"/>
                <w:szCs w:val="24"/>
              </w:rPr>
              <w:t>Шарьеру</w:t>
            </w:r>
            <w:proofErr w:type="spellEnd"/>
            <w:r w:rsidRPr="00E57249">
              <w:rPr>
                <w:rFonts w:ascii="Times New Roman CYR" w:eastAsia="Calibri" w:hAnsi="Times New Roman CYR" w:cs="Times New Roman CYR"/>
                <w:color w:val="000000"/>
                <w:sz w:val="24"/>
                <w:szCs w:val="24"/>
              </w:rPr>
              <w:t xml:space="preserve">: от 08 </w:t>
            </w:r>
            <w:proofErr w:type="spellStart"/>
            <w:r w:rsidRPr="00E57249">
              <w:rPr>
                <w:rFonts w:ascii="Times New Roman CYR" w:eastAsia="Calibri" w:hAnsi="Times New Roman CYR" w:cs="Times New Roman CYR"/>
                <w:color w:val="000000"/>
                <w:sz w:val="24"/>
                <w:szCs w:val="24"/>
              </w:rPr>
              <w:t>ch</w:t>
            </w:r>
            <w:proofErr w:type="spellEnd"/>
            <w:r w:rsidRPr="00E57249">
              <w:rPr>
                <w:rFonts w:ascii="Times New Roman CYR" w:eastAsia="Calibri" w:hAnsi="Times New Roman CYR" w:cs="Times New Roman CYR"/>
                <w:color w:val="000000"/>
                <w:sz w:val="24"/>
                <w:szCs w:val="24"/>
              </w:rPr>
              <w:t xml:space="preserve"> (включительно) до 16 </w:t>
            </w:r>
            <w:proofErr w:type="spellStart"/>
            <w:r w:rsidRPr="00E57249">
              <w:rPr>
                <w:rFonts w:ascii="Times New Roman CYR" w:eastAsia="Calibri" w:hAnsi="Times New Roman CYR" w:cs="Times New Roman CYR"/>
                <w:color w:val="000000"/>
                <w:sz w:val="24"/>
                <w:szCs w:val="24"/>
              </w:rPr>
              <w:t>ch</w:t>
            </w:r>
            <w:proofErr w:type="spellEnd"/>
            <w:r w:rsidRPr="00E57249">
              <w:rPr>
                <w:rFonts w:ascii="Times New Roman CYR" w:eastAsia="Calibri" w:hAnsi="Times New Roman CYR" w:cs="Times New Roman CYR"/>
                <w:color w:val="000000"/>
                <w:sz w:val="24"/>
                <w:szCs w:val="24"/>
              </w:rPr>
              <w:t xml:space="preserve"> (включительно) (в зависимости от антропометрических данных пациента). Длина катетера не менее </w:t>
            </w:r>
            <w:r>
              <w:rPr>
                <w:rFonts w:ascii="Times New Roman CYR" w:eastAsia="Calibri" w:hAnsi="Times New Roman CYR" w:cs="Times New Roman CYR"/>
                <w:color w:val="000000"/>
                <w:sz w:val="24"/>
                <w:szCs w:val="24"/>
              </w:rPr>
              <w:t>40</w:t>
            </w:r>
            <w:r w:rsidRPr="00E57249">
              <w:rPr>
                <w:rFonts w:ascii="Times New Roman CYR" w:eastAsia="Calibri" w:hAnsi="Times New Roman CYR" w:cs="Times New Roman CYR"/>
                <w:color w:val="000000"/>
                <w:sz w:val="24"/>
                <w:szCs w:val="24"/>
              </w:rPr>
              <w:t xml:space="preserve"> см (включительно)</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в индивидуальной упаковке. </w:t>
            </w:r>
          </w:p>
        </w:tc>
        <w:tc>
          <w:tcPr>
            <w:tcW w:w="1604" w:type="dxa"/>
          </w:tcPr>
          <w:p w:rsidR="003E4286" w:rsidRDefault="003E4286" w:rsidP="00684F6F">
            <w:pPr>
              <w:widowControl w:val="0"/>
              <w:jc w:val="center"/>
              <w:rPr>
                <w:rFonts w:ascii="Times New Roman" w:hAnsi="Times New Roman" w:cs="Times New Roman"/>
                <w:sz w:val="24"/>
                <w:szCs w:val="24"/>
              </w:rPr>
            </w:pPr>
          </w:p>
          <w:p w:rsidR="00EF04ED" w:rsidRDefault="00EF04ED" w:rsidP="00684F6F">
            <w:pPr>
              <w:widowControl w:val="0"/>
              <w:jc w:val="center"/>
              <w:rPr>
                <w:rFonts w:ascii="Times New Roman" w:hAnsi="Times New Roman" w:cs="Times New Roman"/>
                <w:sz w:val="24"/>
                <w:szCs w:val="24"/>
              </w:rPr>
            </w:pPr>
          </w:p>
          <w:p w:rsidR="00EF04ED" w:rsidRPr="00DB1EC6" w:rsidRDefault="00AF0009" w:rsidP="004B551D">
            <w:pPr>
              <w:widowControl w:val="0"/>
              <w:jc w:val="center"/>
              <w:rPr>
                <w:rFonts w:ascii="Times New Roman" w:hAnsi="Times New Roman" w:cs="Times New Roman"/>
                <w:sz w:val="24"/>
                <w:szCs w:val="24"/>
              </w:rPr>
            </w:pPr>
            <w:r>
              <w:rPr>
                <w:rFonts w:ascii="Times New Roman" w:hAnsi="Times New Roman" w:cs="Times New Roman"/>
                <w:sz w:val="24"/>
                <w:szCs w:val="24"/>
              </w:rPr>
              <w:t>70</w:t>
            </w:r>
            <w:r w:rsidR="004B551D">
              <w:rPr>
                <w:rFonts w:ascii="Times New Roman" w:hAnsi="Times New Roman" w:cs="Times New Roman"/>
                <w:sz w:val="24"/>
                <w:szCs w:val="24"/>
              </w:rPr>
              <w:t>2</w:t>
            </w:r>
            <w:r>
              <w:rPr>
                <w:rFonts w:ascii="Times New Roman" w:hAnsi="Times New Roman" w:cs="Times New Roman"/>
                <w:sz w:val="24"/>
                <w:szCs w:val="24"/>
              </w:rPr>
              <w:t>0</w:t>
            </w:r>
          </w:p>
        </w:tc>
      </w:tr>
    </w:tbl>
    <w:p w:rsidR="00454B91" w:rsidRDefault="00454B91" w:rsidP="00454B91">
      <w:pPr>
        <w:widowControl w:val="0"/>
        <w:autoSpaceDE w:val="0"/>
        <w:autoSpaceDN w:val="0"/>
        <w:spacing w:after="0" w:line="240" w:lineRule="auto"/>
        <w:ind w:firstLine="708"/>
        <w:jc w:val="center"/>
        <w:rPr>
          <w:rFonts w:ascii="Times New Roman" w:eastAsia="Times New Roman" w:hAnsi="Times New Roman"/>
          <w:b/>
          <w:sz w:val="24"/>
          <w:szCs w:val="24"/>
        </w:rPr>
      </w:pPr>
    </w:p>
    <w:p w:rsidR="00BC78D2" w:rsidRDefault="00454B91" w:rsidP="00D21369">
      <w:pPr>
        <w:widowControl w:val="0"/>
        <w:autoSpaceDE w:val="0"/>
        <w:autoSpaceDN w:val="0"/>
        <w:spacing w:after="0" w:line="240" w:lineRule="auto"/>
        <w:ind w:firstLine="708"/>
        <w:jc w:val="center"/>
      </w:pPr>
      <w:r w:rsidRPr="00155192">
        <w:rPr>
          <w:rFonts w:ascii="Times New Roman" w:eastAsia="Times New Roman" w:hAnsi="Times New Roman"/>
          <w:b/>
          <w:sz w:val="24"/>
          <w:szCs w:val="24"/>
        </w:rPr>
        <w:t>Календарный план</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2016"/>
        <w:gridCol w:w="6877"/>
        <w:gridCol w:w="3871"/>
        <w:gridCol w:w="1486"/>
      </w:tblGrid>
      <w:tr w:rsidR="00454B91" w:rsidRPr="00155192" w:rsidTr="00454B91">
        <w:trPr>
          <w:trHeight w:val="439"/>
        </w:trPr>
        <w:tc>
          <w:tcPr>
            <w:tcW w:w="776" w:type="dxa"/>
            <w:tcBorders>
              <w:top w:val="single" w:sz="4" w:space="0" w:color="auto"/>
              <w:left w:val="single" w:sz="4" w:space="0" w:color="auto"/>
              <w:bottom w:val="single" w:sz="4" w:space="0" w:color="auto"/>
              <w:right w:val="single" w:sz="4" w:space="0" w:color="auto"/>
            </w:tcBorders>
            <w:vAlign w:val="center"/>
          </w:tcPr>
          <w:p w:rsidR="00454B91" w:rsidRPr="00155192" w:rsidRDefault="00454B91" w:rsidP="00E668B3">
            <w:pPr>
              <w:widowControl w:val="0"/>
              <w:autoSpaceDE w:val="0"/>
              <w:autoSpaceDN w:val="0"/>
              <w:spacing w:after="0" w:line="256" w:lineRule="auto"/>
              <w:jc w:val="center"/>
              <w:rPr>
                <w:rFonts w:ascii="Times New Roman" w:eastAsia="Times New Roman" w:hAnsi="Times New Roman"/>
                <w:sz w:val="24"/>
                <w:szCs w:val="24"/>
                <w:lang w:eastAsia="ru-RU"/>
              </w:rPr>
            </w:pPr>
            <w:r w:rsidRPr="00155192">
              <w:rPr>
                <w:rFonts w:ascii="Times New Roman" w:eastAsia="Times New Roman" w:hAnsi="Times New Roman"/>
                <w:sz w:val="24"/>
                <w:szCs w:val="24"/>
                <w:lang w:eastAsia="ru-RU"/>
              </w:rPr>
              <w:t>№ п/п</w:t>
            </w:r>
          </w:p>
        </w:tc>
        <w:tc>
          <w:tcPr>
            <w:tcW w:w="8893" w:type="dxa"/>
            <w:gridSpan w:val="2"/>
            <w:tcBorders>
              <w:top w:val="single" w:sz="4" w:space="0" w:color="auto"/>
              <w:left w:val="single" w:sz="4" w:space="0" w:color="auto"/>
              <w:bottom w:val="single" w:sz="4" w:space="0" w:color="auto"/>
              <w:right w:val="single" w:sz="4" w:space="0" w:color="auto"/>
            </w:tcBorders>
            <w:vAlign w:val="center"/>
            <w:hideMark/>
          </w:tcPr>
          <w:p w:rsidR="00454B91" w:rsidRPr="00155192" w:rsidRDefault="00454B91" w:rsidP="00E668B3">
            <w:pPr>
              <w:widowControl w:val="0"/>
              <w:autoSpaceDE w:val="0"/>
              <w:autoSpaceDN w:val="0"/>
              <w:spacing w:after="0" w:line="256" w:lineRule="auto"/>
              <w:jc w:val="center"/>
              <w:rPr>
                <w:rFonts w:ascii="Times New Roman" w:eastAsia="Times New Roman" w:hAnsi="Times New Roman"/>
                <w:sz w:val="24"/>
                <w:szCs w:val="24"/>
                <w:lang w:eastAsia="ru-RU"/>
              </w:rPr>
            </w:pPr>
            <w:r w:rsidRPr="00155192">
              <w:rPr>
                <w:rFonts w:ascii="Times New Roman" w:eastAsia="Times New Roman" w:hAnsi="Times New Roman"/>
                <w:sz w:val="24"/>
                <w:szCs w:val="24"/>
                <w:lang w:eastAsia="ru-RU"/>
              </w:rPr>
              <w:t>Наименование Товара</w:t>
            </w:r>
          </w:p>
        </w:tc>
        <w:tc>
          <w:tcPr>
            <w:tcW w:w="3871" w:type="dxa"/>
            <w:tcBorders>
              <w:top w:val="single" w:sz="4" w:space="0" w:color="auto"/>
              <w:left w:val="single" w:sz="4" w:space="0" w:color="auto"/>
              <w:bottom w:val="single" w:sz="4" w:space="0" w:color="auto"/>
              <w:right w:val="single" w:sz="4" w:space="0" w:color="auto"/>
            </w:tcBorders>
            <w:vAlign w:val="center"/>
            <w:hideMark/>
          </w:tcPr>
          <w:p w:rsidR="00454B91" w:rsidRPr="00155192" w:rsidRDefault="00B67E50" w:rsidP="00E668B3">
            <w:pPr>
              <w:widowControl w:val="0"/>
              <w:autoSpaceDE w:val="0"/>
              <w:autoSpaceDN w:val="0"/>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Периоды (этапы) поставки на 2024</w:t>
            </w:r>
            <w:r w:rsidR="00454B91" w:rsidRPr="00155192">
              <w:rPr>
                <w:rFonts w:ascii="Times New Roman" w:eastAsia="Times New Roman" w:hAnsi="Times New Roman"/>
                <w:sz w:val="24"/>
                <w:szCs w:val="24"/>
                <w:lang w:eastAsia="ru-RU"/>
              </w:rPr>
              <w:t xml:space="preserve"> год</w:t>
            </w:r>
          </w:p>
        </w:tc>
        <w:tc>
          <w:tcPr>
            <w:tcW w:w="1486" w:type="dxa"/>
            <w:tcBorders>
              <w:top w:val="single" w:sz="4" w:space="0" w:color="auto"/>
              <w:left w:val="single" w:sz="4" w:space="0" w:color="auto"/>
              <w:bottom w:val="single" w:sz="4" w:space="0" w:color="auto"/>
              <w:right w:val="single" w:sz="4" w:space="0" w:color="auto"/>
            </w:tcBorders>
            <w:vAlign w:val="center"/>
            <w:hideMark/>
          </w:tcPr>
          <w:p w:rsidR="00454B91" w:rsidRPr="00155192" w:rsidRDefault="00454B91" w:rsidP="00E668B3">
            <w:pPr>
              <w:widowControl w:val="0"/>
              <w:autoSpaceDE w:val="0"/>
              <w:autoSpaceDN w:val="0"/>
              <w:spacing w:after="0" w:line="256" w:lineRule="auto"/>
              <w:jc w:val="center"/>
              <w:rPr>
                <w:rFonts w:ascii="Times New Roman" w:eastAsia="Times New Roman" w:hAnsi="Times New Roman"/>
                <w:sz w:val="24"/>
                <w:szCs w:val="24"/>
                <w:lang w:eastAsia="ru-RU"/>
              </w:rPr>
            </w:pPr>
            <w:r w:rsidRPr="00155192">
              <w:rPr>
                <w:rFonts w:ascii="Times New Roman" w:eastAsia="Times New Roman" w:hAnsi="Times New Roman"/>
                <w:sz w:val="24"/>
                <w:szCs w:val="24"/>
                <w:lang w:eastAsia="ru-RU"/>
              </w:rPr>
              <w:t>Количество</w:t>
            </w:r>
          </w:p>
          <w:p w:rsidR="00454B91" w:rsidRPr="00155192" w:rsidRDefault="00454B91" w:rsidP="00E668B3">
            <w:pPr>
              <w:widowControl w:val="0"/>
              <w:autoSpaceDE w:val="0"/>
              <w:autoSpaceDN w:val="0"/>
              <w:spacing w:after="0" w:line="256" w:lineRule="auto"/>
              <w:jc w:val="center"/>
              <w:rPr>
                <w:rFonts w:ascii="Times New Roman" w:eastAsia="Times New Roman" w:hAnsi="Times New Roman"/>
                <w:sz w:val="24"/>
                <w:szCs w:val="24"/>
                <w:lang w:eastAsia="ru-RU"/>
              </w:rPr>
            </w:pPr>
            <w:r w:rsidRPr="00155192">
              <w:rPr>
                <w:rFonts w:ascii="Times New Roman" w:eastAsia="Times New Roman" w:hAnsi="Times New Roman"/>
                <w:sz w:val="24"/>
                <w:szCs w:val="24"/>
                <w:lang w:eastAsia="ru-RU"/>
              </w:rPr>
              <w:t>(шт.)</w:t>
            </w:r>
          </w:p>
        </w:tc>
        <w:bookmarkStart w:id="2" w:name="P750"/>
        <w:bookmarkEnd w:id="2"/>
      </w:tr>
      <w:tr w:rsidR="00454B91" w:rsidRPr="00155192" w:rsidTr="00454B91">
        <w:trPr>
          <w:trHeight w:val="905"/>
        </w:trPr>
        <w:tc>
          <w:tcPr>
            <w:tcW w:w="776" w:type="dxa"/>
            <w:tcBorders>
              <w:top w:val="single" w:sz="4" w:space="0" w:color="auto"/>
              <w:left w:val="single" w:sz="4" w:space="0" w:color="auto"/>
              <w:right w:val="single" w:sz="4" w:space="0" w:color="auto"/>
            </w:tcBorders>
            <w:vAlign w:val="center"/>
          </w:tcPr>
          <w:p w:rsidR="00454B91" w:rsidRPr="00155192" w:rsidRDefault="00454B91" w:rsidP="00E668B3">
            <w:pPr>
              <w:widowControl w:val="0"/>
              <w:spacing w:after="0" w:line="240" w:lineRule="auto"/>
              <w:jc w:val="center"/>
              <w:rPr>
                <w:rFonts w:ascii="Times New Roman" w:eastAsia="Times New Roman" w:hAnsi="Times New Roman"/>
                <w:sz w:val="20"/>
                <w:szCs w:val="20"/>
                <w:lang w:eastAsia="ru-RU"/>
              </w:rPr>
            </w:pPr>
            <w:r w:rsidRPr="00155192">
              <w:rPr>
                <w:rFonts w:ascii="Times New Roman" w:eastAsia="Times New Roman" w:hAnsi="Times New Roman"/>
                <w:sz w:val="20"/>
                <w:szCs w:val="20"/>
                <w:lang w:eastAsia="ru-RU"/>
              </w:rPr>
              <w:t>1</w:t>
            </w:r>
          </w:p>
        </w:tc>
        <w:tc>
          <w:tcPr>
            <w:tcW w:w="2016" w:type="dxa"/>
            <w:tcBorders>
              <w:top w:val="single" w:sz="4" w:space="0" w:color="auto"/>
              <w:left w:val="single" w:sz="4" w:space="0" w:color="auto"/>
              <w:bottom w:val="single" w:sz="4" w:space="0" w:color="auto"/>
              <w:right w:val="single" w:sz="4" w:space="0" w:color="auto"/>
            </w:tcBorders>
          </w:tcPr>
          <w:p w:rsidR="00454B91" w:rsidRPr="00155192" w:rsidRDefault="009B0865" w:rsidP="00E668B3">
            <w:pPr>
              <w:spacing w:after="200" w:line="276" w:lineRule="auto"/>
              <w:jc w:val="center"/>
              <w:rPr>
                <w:rFonts w:ascii="Times New Roman" w:eastAsia="Times New Roman" w:hAnsi="Times New Roman"/>
                <w:sz w:val="20"/>
                <w:szCs w:val="20"/>
              </w:rPr>
            </w:pPr>
            <w:r>
              <w:rPr>
                <w:rFonts w:ascii="Times New Roman" w:eastAsia="Times New Roman" w:hAnsi="Times New Roman"/>
                <w:sz w:val="20"/>
                <w:szCs w:val="20"/>
              </w:rPr>
              <w:t>21-01-21</w:t>
            </w:r>
            <w:r w:rsidR="00454B91" w:rsidRPr="00A826D2">
              <w:rPr>
                <w:rFonts w:ascii="Times New Roman" w:eastAsia="Times New Roman" w:hAnsi="Times New Roman"/>
                <w:sz w:val="20"/>
                <w:szCs w:val="20"/>
              </w:rPr>
              <w:t xml:space="preserve">   </w:t>
            </w:r>
          </w:p>
        </w:tc>
        <w:tc>
          <w:tcPr>
            <w:tcW w:w="6877" w:type="dxa"/>
            <w:shd w:val="clear" w:color="auto" w:fill="auto"/>
          </w:tcPr>
          <w:p w:rsidR="00454B91" w:rsidRPr="00155192" w:rsidRDefault="009B0865" w:rsidP="00E668B3">
            <w:pPr>
              <w:spacing w:after="0" w:line="240" w:lineRule="auto"/>
              <w:jc w:val="both"/>
              <w:rPr>
                <w:rFonts w:ascii="Times New Roman" w:eastAsia="Times New Roman" w:hAnsi="Times New Roman"/>
                <w:sz w:val="20"/>
                <w:szCs w:val="20"/>
                <w:lang w:eastAsia="ru-RU"/>
              </w:rPr>
            </w:pPr>
            <w:r w:rsidRPr="009B0865">
              <w:rPr>
                <w:rFonts w:ascii="Times New Roman" w:eastAsia="Times New Roman" w:hAnsi="Times New Roman"/>
                <w:sz w:val="20"/>
                <w:szCs w:val="20"/>
                <w:lang w:eastAsia="ru-RU"/>
              </w:rPr>
              <w:t xml:space="preserve">Наборы-мочеприемники для </w:t>
            </w:r>
            <w:proofErr w:type="spellStart"/>
            <w:r w:rsidRPr="009B0865">
              <w:rPr>
                <w:rFonts w:ascii="Times New Roman" w:eastAsia="Times New Roman" w:hAnsi="Times New Roman"/>
                <w:sz w:val="20"/>
                <w:szCs w:val="20"/>
                <w:lang w:eastAsia="ru-RU"/>
              </w:rPr>
              <w:t>самокатетеризации</w:t>
            </w:r>
            <w:proofErr w:type="spellEnd"/>
            <w:r w:rsidRPr="009B0865">
              <w:rPr>
                <w:rFonts w:ascii="Times New Roman" w:eastAsia="Times New Roman" w:hAnsi="Times New Roman"/>
                <w:sz w:val="20"/>
                <w:szCs w:val="20"/>
                <w:lang w:eastAsia="ru-RU"/>
              </w:rPr>
              <w:t xml:space="preserve">: мешок-мочеприемник, катетер </w:t>
            </w:r>
            <w:proofErr w:type="spellStart"/>
            <w:r w:rsidRPr="009B0865">
              <w:rPr>
                <w:rFonts w:ascii="Times New Roman" w:eastAsia="Times New Roman" w:hAnsi="Times New Roman"/>
                <w:sz w:val="20"/>
                <w:szCs w:val="20"/>
                <w:lang w:eastAsia="ru-RU"/>
              </w:rPr>
              <w:t>лубрицированный</w:t>
            </w:r>
            <w:proofErr w:type="spellEnd"/>
            <w:r w:rsidRPr="009B0865">
              <w:rPr>
                <w:rFonts w:ascii="Times New Roman" w:eastAsia="Times New Roman" w:hAnsi="Times New Roman"/>
                <w:sz w:val="20"/>
                <w:szCs w:val="20"/>
                <w:lang w:eastAsia="ru-RU"/>
              </w:rPr>
              <w:t xml:space="preserve"> для </w:t>
            </w:r>
            <w:proofErr w:type="spellStart"/>
            <w:r w:rsidRPr="009B0865">
              <w:rPr>
                <w:rFonts w:ascii="Times New Roman" w:eastAsia="Times New Roman" w:hAnsi="Times New Roman"/>
                <w:sz w:val="20"/>
                <w:szCs w:val="20"/>
                <w:lang w:eastAsia="ru-RU"/>
              </w:rPr>
              <w:t>самокатетеризации</w:t>
            </w:r>
            <w:proofErr w:type="spellEnd"/>
          </w:p>
        </w:tc>
        <w:tc>
          <w:tcPr>
            <w:tcW w:w="3871" w:type="dxa"/>
            <w:tcBorders>
              <w:top w:val="single" w:sz="4" w:space="0" w:color="auto"/>
              <w:left w:val="single" w:sz="4" w:space="0" w:color="auto"/>
              <w:right w:val="single" w:sz="4" w:space="0" w:color="auto"/>
            </w:tcBorders>
            <w:vAlign w:val="center"/>
          </w:tcPr>
          <w:p w:rsidR="00454B91" w:rsidRPr="00155192" w:rsidRDefault="00454B91" w:rsidP="00A15D2D">
            <w:pPr>
              <w:widowControl w:val="0"/>
              <w:autoSpaceDE w:val="0"/>
              <w:autoSpaceDN w:val="0"/>
              <w:spacing w:after="0" w:line="256" w:lineRule="auto"/>
              <w:jc w:val="center"/>
              <w:rPr>
                <w:rFonts w:ascii="Times New Roman" w:eastAsia="Times New Roman" w:hAnsi="Times New Roman"/>
                <w:sz w:val="20"/>
                <w:szCs w:val="20"/>
                <w:lang w:eastAsia="ru-RU"/>
              </w:rPr>
            </w:pPr>
            <w:r w:rsidRPr="00364C95">
              <w:rPr>
                <w:rFonts w:ascii="Times New Roman" w:eastAsia="Times New Roman" w:hAnsi="Times New Roman"/>
                <w:sz w:val="20"/>
                <w:szCs w:val="20"/>
                <w:lang w:eastAsia="ru-RU"/>
              </w:rPr>
              <w:t xml:space="preserve">в течение 10 (десяти) рабочих дней с даты </w:t>
            </w:r>
            <w:r w:rsidR="00A15D2D">
              <w:rPr>
                <w:rFonts w:ascii="Times New Roman" w:eastAsia="Times New Roman" w:hAnsi="Times New Roman"/>
                <w:sz w:val="20"/>
                <w:szCs w:val="20"/>
                <w:lang w:eastAsia="ru-RU"/>
              </w:rPr>
              <w:t>подписания контракта</w:t>
            </w:r>
          </w:p>
        </w:tc>
        <w:tc>
          <w:tcPr>
            <w:tcW w:w="1486" w:type="dxa"/>
            <w:shd w:val="clear" w:color="auto" w:fill="auto"/>
          </w:tcPr>
          <w:p w:rsidR="00454B91" w:rsidRDefault="00454B91" w:rsidP="00E668B3">
            <w:pPr>
              <w:spacing w:after="0" w:line="240" w:lineRule="auto"/>
              <w:jc w:val="center"/>
              <w:rPr>
                <w:rFonts w:ascii="Times New Roman" w:eastAsia="Times New Roman" w:hAnsi="Times New Roman"/>
                <w:sz w:val="20"/>
                <w:szCs w:val="20"/>
                <w:lang w:eastAsia="ru-RU"/>
              </w:rPr>
            </w:pPr>
          </w:p>
          <w:p w:rsidR="00EF04ED" w:rsidRPr="00B777D7" w:rsidRDefault="00A15D2D" w:rsidP="00A15D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699</w:t>
            </w:r>
            <w:r w:rsidR="00AF0009">
              <w:rPr>
                <w:rFonts w:ascii="Times New Roman" w:eastAsia="Times New Roman" w:hAnsi="Times New Roman"/>
                <w:sz w:val="20"/>
                <w:szCs w:val="20"/>
                <w:lang w:eastAsia="ru-RU"/>
              </w:rPr>
              <w:t>0</w:t>
            </w:r>
          </w:p>
        </w:tc>
      </w:tr>
      <w:tr w:rsidR="002639D9" w:rsidRPr="00155192" w:rsidTr="00454B91">
        <w:trPr>
          <w:trHeight w:val="883"/>
        </w:trPr>
        <w:tc>
          <w:tcPr>
            <w:tcW w:w="776" w:type="dxa"/>
            <w:tcBorders>
              <w:top w:val="single" w:sz="4" w:space="0" w:color="auto"/>
              <w:left w:val="single" w:sz="4" w:space="0" w:color="auto"/>
              <w:right w:val="single" w:sz="4" w:space="0" w:color="auto"/>
            </w:tcBorders>
            <w:vAlign w:val="center"/>
          </w:tcPr>
          <w:p w:rsidR="002639D9" w:rsidRPr="00155192" w:rsidRDefault="002639D9" w:rsidP="002639D9">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016" w:type="dxa"/>
            <w:tcBorders>
              <w:top w:val="single" w:sz="4" w:space="0" w:color="auto"/>
              <w:left w:val="single" w:sz="4" w:space="0" w:color="auto"/>
              <w:bottom w:val="single" w:sz="4" w:space="0" w:color="auto"/>
              <w:right w:val="single" w:sz="4" w:space="0" w:color="auto"/>
            </w:tcBorders>
          </w:tcPr>
          <w:p w:rsidR="002639D9" w:rsidRPr="00155192" w:rsidRDefault="002639D9" w:rsidP="002639D9">
            <w:pPr>
              <w:spacing w:after="200" w:line="276" w:lineRule="auto"/>
              <w:jc w:val="center"/>
              <w:rPr>
                <w:rFonts w:ascii="Times New Roman" w:eastAsia="Times New Roman" w:hAnsi="Times New Roman"/>
                <w:sz w:val="20"/>
                <w:szCs w:val="20"/>
              </w:rPr>
            </w:pPr>
            <w:r>
              <w:rPr>
                <w:rFonts w:ascii="Times New Roman" w:eastAsia="Times New Roman" w:hAnsi="Times New Roman"/>
                <w:sz w:val="20"/>
                <w:szCs w:val="20"/>
              </w:rPr>
              <w:t>21-01-21</w:t>
            </w:r>
            <w:r w:rsidRPr="00A826D2">
              <w:rPr>
                <w:rFonts w:ascii="Times New Roman" w:eastAsia="Times New Roman" w:hAnsi="Times New Roman"/>
                <w:sz w:val="20"/>
                <w:szCs w:val="20"/>
              </w:rPr>
              <w:t xml:space="preserve">   </w:t>
            </w:r>
          </w:p>
        </w:tc>
        <w:tc>
          <w:tcPr>
            <w:tcW w:w="6877" w:type="dxa"/>
            <w:shd w:val="clear" w:color="auto" w:fill="auto"/>
          </w:tcPr>
          <w:p w:rsidR="002639D9" w:rsidRPr="00A826D2" w:rsidRDefault="002639D9" w:rsidP="002639D9">
            <w:pPr>
              <w:rPr>
                <w:rFonts w:ascii="Times New Roman" w:eastAsia="Times New Roman" w:hAnsi="Times New Roman"/>
                <w:sz w:val="20"/>
                <w:szCs w:val="20"/>
                <w:lang w:eastAsia="ru-RU"/>
              </w:rPr>
            </w:pPr>
            <w:r w:rsidRPr="009B0865">
              <w:rPr>
                <w:rFonts w:ascii="Times New Roman" w:eastAsia="Times New Roman" w:hAnsi="Times New Roman"/>
                <w:sz w:val="20"/>
                <w:szCs w:val="20"/>
                <w:lang w:eastAsia="ru-RU"/>
              </w:rPr>
              <w:t xml:space="preserve">Наборы-мочеприемники для </w:t>
            </w:r>
            <w:proofErr w:type="spellStart"/>
            <w:r w:rsidRPr="009B0865">
              <w:rPr>
                <w:rFonts w:ascii="Times New Roman" w:eastAsia="Times New Roman" w:hAnsi="Times New Roman"/>
                <w:sz w:val="20"/>
                <w:szCs w:val="20"/>
                <w:lang w:eastAsia="ru-RU"/>
              </w:rPr>
              <w:t>самокатетеризации</w:t>
            </w:r>
            <w:proofErr w:type="spellEnd"/>
            <w:r w:rsidRPr="009B0865">
              <w:rPr>
                <w:rFonts w:ascii="Times New Roman" w:eastAsia="Times New Roman" w:hAnsi="Times New Roman"/>
                <w:sz w:val="20"/>
                <w:szCs w:val="20"/>
                <w:lang w:eastAsia="ru-RU"/>
              </w:rPr>
              <w:t xml:space="preserve">: мешок-мочеприемник, катетер </w:t>
            </w:r>
            <w:proofErr w:type="spellStart"/>
            <w:r w:rsidRPr="009B0865">
              <w:rPr>
                <w:rFonts w:ascii="Times New Roman" w:eastAsia="Times New Roman" w:hAnsi="Times New Roman"/>
                <w:sz w:val="20"/>
                <w:szCs w:val="20"/>
                <w:lang w:eastAsia="ru-RU"/>
              </w:rPr>
              <w:t>лубрицированный</w:t>
            </w:r>
            <w:proofErr w:type="spellEnd"/>
            <w:r w:rsidRPr="009B0865">
              <w:rPr>
                <w:rFonts w:ascii="Times New Roman" w:eastAsia="Times New Roman" w:hAnsi="Times New Roman"/>
                <w:sz w:val="20"/>
                <w:szCs w:val="20"/>
                <w:lang w:eastAsia="ru-RU"/>
              </w:rPr>
              <w:t xml:space="preserve"> для </w:t>
            </w:r>
            <w:proofErr w:type="spellStart"/>
            <w:r w:rsidRPr="009B0865">
              <w:rPr>
                <w:rFonts w:ascii="Times New Roman" w:eastAsia="Times New Roman" w:hAnsi="Times New Roman"/>
                <w:sz w:val="20"/>
                <w:szCs w:val="20"/>
                <w:lang w:eastAsia="ru-RU"/>
              </w:rPr>
              <w:t>самокатетеризации</w:t>
            </w:r>
            <w:proofErr w:type="spellEnd"/>
          </w:p>
        </w:tc>
        <w:tc>
          <w:tcPr>
            <w:tcW w:w="3871" w:type="dxa"/>
            <w:tcBorders>
              <w:top w:val="single" w:sz="4" w:space="0" w:color="auto"/>
              <w:left w:val="single" w:sz="4" w:space="0" w:color="auto"/>
              <w:right w:val="single" w:sz="4" w:space="0" w:color="auto"/>
            </w:tcBorders>
            <w:vAlign w:val="center"/>
          </w:tcPr>
          <w:p w:rsidR="002639D9" w:rsidRPr="00155192" w:rsidRDefault="00A15D2D" w:rsidP="002639D9">
            <w:pPr>
              <w:widowControl w:val="0"/>
              <w:autoSpaceDE w:val="0"/>
              <w:autoSpaceDN w:val="0"/>
              <w:spacing w:after="0" w:line="256" w:lineRule="auto"/>
              <w:jc w:val="center"/>
              <w:rPr>
                <w:rFonts w:ascii="Times New Roman" w:eastAsia="Times New Roman" w:hAnsi="Times New Roman"/>
                <w:sz w:val="20"/>
                <w:szCs w:val="20"/>
                <w:lang w:eastAsia="ru-RU"/>
              </w:rPr>
            </w:pPr>
            <w:r w:rsidRPr="00A15D2D">
              <w:rPr>
                <w:rFonts w:ascii="Times New Roman" w:eastAsia="Times New Roman" w:hAnsi="Times New Roman"/>
                <w:sz w:val="20"/>
                <w:szCs w:val="20"/>
                <w:lang w:eastAsia="ru-RU"/>
              </w:rPr>
              <w:t>в течение 10 (десяти) рабочих дней с даты подписания контракта</w:t>
            </w:r>
          </w:p>
        </w:tc>
        <w:tc>
          <w:tcPr>
            <w:tcW w:w="1486" w:type="dxa"/>
            <w:shd w:val="clear" w:color="auto" w:fill="auto"/>
          </w:tcPr>
          <w:p w:rsidR="002639D9" w:rsidRDefault="002639D9" w:rsidP="002639D9">
            <w:pPr>
              <w:spacing w:after="0" w:line="240" w:lineRule="auto"/>
              <w:jc w:val="center"/>
              <w:rPr>
                <w:rFonts w:ascii="Times New Roman" w:eastAsia="Times New Roman" w:hAnsi="Times New Roman"/>
                <w:sz w:val="20"/>
                <w:szCs w:val="20"/>
                <w:lang w:eastAsia="ru-RU"/>
              </w:rPr>
            </w:pPr>
          </w:p>
          <w:p w:rsidR="002639D9" w:rsidRPr="00B777D7" w:rsidRDefault="00AF0009" w:rsidP="004B551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r w:rsidR="004B551D">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p>
        </w:tc>
      </w:tr>
      <w:tr w:rsidR="002639D9" w:rsidRPr="00155192" w:rsidTr="00454B91">
        <w:trPr>
          <w:trHeight w:val="192"/>
        </w:trPr>
        <w:tc>
          <w:tcPr>
            <w:tcW w:w="13540" w:type="dxa"/>
            <w:gridSpan w:val="4"/>
            <w:tcBorders>
              <w:top w:val="single" w:sz="4" w:space="0" w:color="auto"/>
              <w:left w:val="single" w:sz="4" w:space="0" w:color="auto"/>
              <w:right w:val="single" w:sz="4" w:space="0" w:color="auto"/>
            </w:tcBorders>
          </w:tcPr>
          <w:p w:rsidR="002639D9" w:rsidRPr="00155192" w:rsidRDefault="002639D9" w:rsidP="002639D9">
            <w:pPr>
              <w:widowControl w:val="0"/>
              <w:autoSpaceDE w:val="0"/>
              <w:autoSpaceDN w:val="0"/>
              <w:spacing w:after="0" w:line="240" w:lineRule="auto"/>
              <w:rPr>
                <w:rFonts w:ascii="Times New Roman" w:eastAsia="Times New Roman" w:hAnsi="Times New Roman"/>
                <w:sz w:val="20"/>
                <w:szCs w:val="20"/>
                <w:lang w:eastAsia="ru-RU"/>
              </w:rPr>
            </w:pPr>
            <w:r w:rsidRPr="00155192">
              <w:rPr>
                <w:rFonts w:ascii="Times New Roman" w:eastAsia="Times New Roman" w:hAnsi="Times New Roman"/>
                <w:sz w:val="20"/>
                <w:szCs w:val="20"/>
                <w:lang w:eastAsia="ru-RU"/>
              </w:rPr>
              <w:t>ИТОГО:</w:t>
            </w:r>
          </w:p>
        </w:tc>
        <w:tc>
          <w:tcPr>
            <w:tcW w:w="1486" w:type="dxa"/>
            <w:tcBorders>
              <w:top w:val="single" w:sz="4" w:space="0" w:color="auto"/>
              <w:left w:val="single" w:sz="4" w:space="0" w:color="auto"/>
              <w:right w:val="single" w:sz="4" w:space="0" w:color="auto"/>
            </w:tcBorders>
            <w:vAlign w:val="center"/>
          </w:tcPr>
          <w:p w:rsidR="002639D9" w:rsidRPr="00155192" w:rsidRDefault="00AF0009" w:rsidP="004B551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r w:rsidR="004B551D">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r>
    </w:tbl>
    <w:p w:rsidR="00454B91" w:rsidRDefault="00454B91"/>
    <w:sectPr w:rsidR="00454B91" w:rsidSect="00454B91">
      <w:pgSz w:w="16838" w:h="11906" w:orient="landscape"/>
      <w:pgMar w:top="142"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D2"/>
    <w:rsid w:val="00076157"/>
    <w:rsid w:val="000D4A19"/>
    <w:rsid w:val="0011515A"/>
    <w:rsid w:val="002639D9"/>
    <w:rsid w:val="00374811"/>
    <w:rsid w:val="003E4286"/>
    <w:rsid w:val="003E4886"/>
    <w:rsid w:val="003E7E59"/>
    <w:rsid w:val="00454B91"/>
    <w:rsid w:val="004804D7"/>
    <w:rsid w:val="004B551D"/>
    <w:rsid w:val="00764CFD"/>
    <w:rsid w:val="00785A2C"/>
    <w:rsid w:val="007E6A83"/>
    <w:rsid w:val="009118E7"/>
    <w:rsid w:val="00914189"/>
    <w:rsid w:val="00920D37"/>
    <w:rsid w:val="00960863"/>
    <w:rsid w:val="009A0308"/>
    <w:rsid w:val="009A31B0"/>
    <w:rsid w:val="009B0865"/>
    <w:rsid w:val="00A15D2D"/>
    <w:rsid w:val="00A16D6C"/>
    <w:rsid w:val="00A45B84"/>
    <w:rsid w:val="00AA24B8"/>
    <w:rsid w:val="00AF0009"/>
    <w:rsid w:val="00AF1CC3"/>
    <w:rsid w:val="00B22293"/>
    <w:rsid w:val="00B67E50"/>
    <w:rsid w:val="00BC78D2"/>
    <w:rsid w:val="00C82B5B"/>
    <w:rsid w:val="00C91693"/>
    <w:rsid w:val="00D21369"/>
    <w:rsid w:val="00DB1EC6"/>
    <w:rsid w:val="00DB242F"/>
    <w:rsid w:val="00EC590C"/>
    <w:rsid w:val="00EF04ED"/>
    <w:rsid w:val="00FB5EDB"/>
    <w:rsid w:val="00FB6529"/>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70B6-A91B-4F92-B26E-F541AAB4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6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1693"/>
    <w:rPr>
      <w:rFonts w:ascii="Segoe UI" w:hAnsi="Segoe UI" w:cs="Segoe UI"/>
      <w:sz w:val="18"/>
      <w:szCs w:val="18"/>
    </w:rPr>
  </w:style>
  <w:style w:type="table" w:styleId="a5">
    <w:name w:val="Table Grid"/>
    <w:basedOn w:val="a1"/>
    <w:uiPriority w:val="59"/>
    <w:rsid w:val="0096086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Арнаутова Оксана Вадимовна</cp:lastModifiedBy>
  <cp:revision>3</cp:revision>
  <cp:lastPrinted>2021-11-03T07:28:00Z</cp:lastPrinted>
  <dcterms:created xsi:type="dcterms:W3CDTF">2022-12-15T09:30:00Z</dcterms:created>
  <dcterms:modified xsi:type="dcterms:W3CDTF">2022-12-15T09:30:00Z</dcterms:modified>
</cp:coreProperties>
</file>