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FF4772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772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FC7DCC" w:rsidRPr="00FF4772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77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B27E5F" w:rsidRPr="00FF4772" w:rsidRDefault="00B27E5F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DCC" w:rsidRPr="00FF4772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F4772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5A15A0" w:rsidRPr="00FF4772" w:rsidRDefault="005A15A0" w:rsidP="00B020A5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4772">
        <w:rPr>
          <w:rFonts w:ascii="Times New Roman" w:eastAsia="Times New Roman" w:hAnsi="Times New Roman" w:cs="Times New Roman"/>
          <w:bCs/>
          <w:sz w:val="26"/>
          <w:szCs w:val="26"/>
        </w:rPr>
        <w:t>Выполнение работ по обеспечению инвалидов и отдельных категорий граждан из числа ветеранов протезно-ортопедическими изделиями (протезы нижних конечностей)</w:t>
      </w:r>
    </w:p>
    <w:p w:rsidR="00B020A5" w:rsidRPr="00FF4772" w:rsidRDefault="00B020A5" w:rsidP="00451AC3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</w:t>
      </w:r>
      <w:bookmarkStart w:id="0" w:name="_GoBack"/>
      <w:bookmarkEnd w:id="0"/>
      <w:r w:rsidRPr="00FF4772">
        <w:rPr>
          <w:rFonts w:ascii="Times New Roman" w:hAnsi="Times New Roman" w:cs="Times New Roman"/>
          <w:b/>
          <w:sz w:val="26"/>
          <w:szCs w:val="26"/>
        </w:rPr>
        <w:t>пки: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Выполнение работ по обеспечению инвалидов и отдельных категорий граждан из числа ветеранов (далее – Получателей) протезно-ортопедическими изделиями (</w:t>
      </w:r>
      <w:r w:rsidRPr="00FF4772">
        <w:rPr>
          <w:rFonts w:ascii="Times New Roman" w:hAnsi="Times New Roman" w:cs="Times New Roman"/>
          <w:b/>
          <w:sz w:val="26"/>
          <w:szCs w:val="26"/>
        </w:rPr>
        <w:t>протезы нижних конечностей</w:t>
      </w:r>
      <w:r w:rsidRPr="00FF4772">
        <w:rPr>
          <w:rFonts w:ascii="Times New Roman" w:hAnsi="Times New Roman" w:cs="Times New Roman"/>
          <w:sz w:val="26"/>
          <w:szCs w:val="26"/>
        </w:rPr>
        <w:t>) в 2023 году (далее – протез, ПОИ).</w:t>
      </w:r>
      <w:r w:rsidR="00003BA7" w:rsidRPr="00FF47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BA7" w:rsidRPr="00FF4772" w:rsidRDefault="008F417A" w:rsidP="00451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Количество (объем работ) – о</w:t>
      </w:r>
      <w:r w:rsidR="00003BA7" w:rsidRPr="00FF4772">
        <w:rPr>
          <w:rFonts w:ascii="Times New Roman" w:hAnsi="Times New Roman" w:cs="Times New Roman"/>
          <w:sz w:val="26"/>
          <w:szCs w:val="26"/>
        </w:rPr>
        <w:t>бъем выполняемых работ определить невозможно.</w:t>
      </w:r>
    </w:p>
    <w:p w:rsidR="00003BA7" w:rsidRPr="00FF4772" w:rsidRDefault="00003BA7" w:rsidP="00451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Выполнение работ осуществляется по цене за единицу работ, сформировавшейся по итогам </w:t>
      </w:r>
      <w:r w:rsidR="00624B4D" w:rsidRPr="00FF4772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FF4772">
        <w:rPr>
          <w:rFonts w:ascii="Times New Roman" w:hAnsi="Times New Roman" w:cs="Times New Roman"/>
          <w:sz w:val="26"/>
          <w:szCs w:val="26"/>
        </w:rPr>
        <w:t>конкурса (по каждой позиции), в объеме, не превышающ</w:t>
      </w:r>
      <w:r w:rsidR="001D0619" w:rsidRPr="00FF4772">
        <w:rPr>
          <w:rFonts w:ascii="Times New Roman" w:hAnsi="Times New Roman" w:cs="Times New Roman"/>
          <w:sz w:val="26"/>
          <w:szCs w:val="26"/>
        </w:rPr>
        <w:t>ем максимального значения цены к</w:t>
      </w:r>
      <w:r w:rsidRPr="00FF4772">
        <w:rPr>
          <w:rFonts w:ascii="Times New Roman" w:hAnsi="Times New Roman" w:cs="Times New Roman"/>
          <w:sz w:val="26"/>
          <w:szCs w:val="26"/>
        </w:rPr>
        <w:t>онтракта.</w:t>
      </w:r>
    </w:p>
    <w:p w:rsidR="00B6163D" w:rsidRPr="00FF4772" w:rsidRDefault="00B6163D" w:rsidP="00451A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163D" w:rsidRPr="00FF4772" w:rsidRDefault="00B6163D" w:rsidP="00451A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Порядок определения объема выполняемой работы:</w:t>
      </w:r>
    </w:p>
    <w:p w:rsidR="00B6163D" w:rsidRPr="00FF4772" w:rsidRDefault="00B6163D" w:rsidP="00451A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Подрядчик </w:t>
      </w:r>
      <w:proofErr w:type="gramStart"/>
      <w:r w:rsidRPr="00FF4772">
        <w:rPr>
          <w:rFonts w:ascii="Times New Roman" w:hAnsi="Times New Roman" w:cs="Times New Roman"/>
          <w:sz w:val="26"/>
          <w:szCs w:val="26"/>
        </w:rPr>
        <w:t>выполняет работы по обеспечению ПОИ</w:t>
      </w:r>
      <w:proofErr w:type="gramEnd"/>
      <w:r w:rsidRPr="00FF4772">
        <w:rPr>
          <w:rFonts w:ascii="Times New Roman" w:hAnsi="Times New Roman" w:cs="Times New Roman"/>
          <w:sz w:val="26"/>
          <w:szCs w:val="26"/>
        </w:rPr>
        <w:t xml:space="preserve"> на основании реестров Получателей, предоставляемых Подрядчику (его представителю) Заказчиком, </w:t>
      </w:r>
      <w:r w:rsidRPr="00FF4772">
        <w:rPr>
          <w:rFonts w:ascii="Times New Roman" w:hAnsi="Times New Roman" w:cs="Times New Roman"/>
          <w:sz w:val="25"/>
          <w:szCs w:val="25"/>
        </w:rPr>
        <w:t xml:space="preserve">или </w:t>
      </w:r>
      <w:r w:rsidRPr="00FF4772">
        <w:rPr>
          <w:rFonts w:ascii="Times New Roman" w:hAnsi="Times New Roman" w:cs="Times New Roman"/>
          <w:sz w:val="26"/>
          <w:szCs w:val="26"/>
        </w:rPr>
        <w:t>именного «Направления» (письменного решения Заказчика, выдаваемого Получателю)</w:t>
      </w:r>
      <w:r w:rsidRPr="00FF4772">
        <w:rPr>
          <w:rFonts w:ascii="Times New Roman" w:hAnsi="Times New Roman" w:cs="Times New Roman"/>
          <w:sz w:val="25"/>
          <w:szCs w:val="25"/>
        </w:rPr>
        <w:t>, выдаваемых Заказчиком</w:t>
      </w:r>
      <w:r w:rsidRPr="00FF4772">
        <w:rPr>
          <w:rFonts w:ascii="Times New Roman" w:hAnsi="Times New Roman" w:cs="Times New Roman"/>
          <w:sz w:val="26"/>
          <w:szCs w:val="26"/>
        </w:rPr>
        <w:t xml:space="preserve"> в объеме, не превышающем максимального значения цены контракта.</w:t>
      </w:r>
    </w:p>
    <w:p w:rsidR="00D0337D" w:rsidRPr="00FF4772" w:rsidRDefault="00D0337D" w:rsidP="00451AC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Перечень видов работ по обеспечению протезно-ортопедическими изделиями</w:t>
      </w:r>
      <w:r w:rsidRPr="00FF4772">
        <w:rPr>
          <w:rFonts w:ascii="Times New Roman" w:hAnsi="Times New Roman" w:cs="Times New Roman"/>
          <w:sz w:val="26"/>
          <w:szCs w:val="26"/>
        </w:rPr>
        <w:t>:</w:t>
      </w:r>
    </w:p>
    <w:p w:rsidR="00D0337D" w:rsidRPr="00FF4772" w:rsidRDefault="00D0337D" w:rsidP="00220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7"/>
        <w:gridCol w:w="2464"/>
        <w:gridCol w:w="3304"/>
        <w:gridCol w:w="1700"/>
        <w:gridCol w:w="6290"/>
      </w:tblGrid>
      <w:tr w:rsidR="00FF4772" w:rsidRPr="00FF4772" w:rsidTr="00FA745A">
        <w:trPr>
          <w:trHeight w:val="1052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F4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F4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Номер вида ПОИ по классификатору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ПОИ</w:t>
            </w:r>
          </w:p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показатели характеристик</w:t>
            </w: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4772" w:rsidRPr="00FF4772" w:rsidTr="00FA745A">
        <w:trPr>
          <w:trHeight w:val="471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32.50.22.121 - Протезы внешние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E" w:rsidRPr="00FF4772" w:rsidRDefault="00980F3E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стопы</w:t>
            </w: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Протез стопы. Приёмная гильза индивидуальная (одна пробная гильза).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приемной гильзы: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ортокриловая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смола. Наличие вкладной гильзы из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педилена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пенополиэтилена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в зависимости от индивидуальных особенностей Получателя. 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Стопа обеспечивает возможность подошвенного сгибания и поворота внутрь и наружу, а также пронация и супинация. Чехлы на культю шерстяные, хлопчатобумажные,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индивидуальных особенностей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Тип протеза: по назначению.</w:t>
            </w:r>
          </w:p>
        </w:tc>
      </w:tr>
      <w:tr w:rsidR="00FF4772" w:rsidRPr="00FF4772" w:rsidTr="00FA745A">
        <w:trPr>
          <w:trHeight w:val="69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3" w:rsidRPr="00FF4772" w:rsidRDefault="00B70973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3" w:rsidRPr="00FF4772" w:rsidRDefault="00B70973" w:rsidP="00B61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48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3" w:rsidRPr="00FF4772" w:rsidRDefault="00B70973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голени для купания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голени для купания. Гильза индивидуальная, изготовленная по индивидуальному слепку с культи Получателя. Количество приемных пробных гильз – одна; постоянная гильза из листового термопластичного пластика; без вкладной гильзы, без чехла полимерного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гелевого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; крепление протеза голени облегченное, с использованием наколенника; регулировочно-соединительное устройство водостойкое, стопа на нагрузку до 100 кг, обладающая противоскользящим эффектом, водостойкая. Чехлы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. Тип протеза: специальный, по назначению.</w:t>
            </w:r>
          </w:p>
        </w:tc>
      </w:tr>
      <w:tr w:rsidR="00FF4772" w:rsidRPr="00FF4772" w:rsidTr="00FA745A">
        <w:trPr>
          <w:trHeight w:val="416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3" w:rsidRPr="00FF4772" w:rsidRDefault="00B70973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бедра для купания</w:t>
            </w: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бедра для купания. Внешний вид косметической оболочки максимально приближен к </w:t>
            </w:r>
            <w:proofErr w:type="gram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естественному</w:t>
            </w:r>
            <w:proofErr w:type="gram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изготовлена из эластичного материала, не всплывает в воде, отверстия, расположенные внутри соединительного блока для дистальной части, обеспечивают быстрое и незаметное вытекание воды. Материал индивидуальной постоянной гильзы: литьевой слоистый пластик на основе акриловых смол или листовой термопластичный пластик в зависимости от индивидуальных особенностей Получателя. Крепление вакуумное. Стопа водостойкая, отличное сцепление с поверхностью за счет специальной комбинации материалов, рифленый профиль подошвы герметизация подошвы за счет уплотнительной пробки. Коленный шарнир водостойкий, моноцентрический, интегрированный замок для дополнительной надежности, миниатюрная гидравлическая система. Чехлы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. Тип протеза: по назначению Тип протеза: по назначению.</w:t>
            </w:r>
          </w:p>
        </w:tc>
      </w:tr>
      <w:tr w:rsidR="00FF4772" w:rsidRPr="00FF4772" w:rsidTr="00FA745A">
        <w:trPr>
          <w:trHeight w:val="63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B" w:rsidRPr="00FF4772" w:rsidRDefault="00C271DB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B" w:rsidRPr="00FF4772" w:rsidRDefault="00C271DB" w:rsidP="00B61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48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B" w:rsidRPr="00FF4772" w:rsidRDefault="00C271DB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голени немодульный, в том числе при врожденном недоразвитии, шинно-кожаный с косметической облицовкой и оболочкой. Приемная гильза индивидуальная. Материал приемной гильзы: кожа. Без вкладной гильзы. Метод крепления протеза: с использованием гильзы (манжеты с шинами) бедра или с использованием кожаных полуфабрикатов в зависимости от индивидуальных особенностей Получателя. Стопа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деревянно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фильцевая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, с голеностопным шарниром, подвижным в сагиттальной плоскости или стопа шарнирная полиуретановая, монолитная в зависимости от индивидуальных особенностей Получателя. Чехлы на культю голени шерстяные, хлопчатобумажные в зависимости от индивидуальных особенностей Получателя. Тип протеза: по назначению.</w:t>
            </w:r>
          </w:p>
        </w:tc>
      </w:tr>
      <w:tr w:rsidR="00FF4772" w:rsidRPr="00FF4772" w:rsidTr="00FA745A">
        <w:trPr>
          <w:trHeight w:val="48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B" w:rsidRPr="00FF4772" w:rsidRDefault="00C271DB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8-07-09-1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DB" w:rsidRPr="00FF4772" w:rsidRDefault="00C271DB" w:rsidP="00B61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48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73" w:rsidRPr="00FF4772" w:rsidRDefault="00B70973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голени модульный, в том числе при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голени модульный, в том числе при недоразвитии 1-2 группы активности. Формообразующая часть косметической облицовки - модульная мягкая полиуретановая или листовой поролон в зависимости от индивидуальных особенностей Получателя.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Получателя, допускается покрытие защитное плёночное. Приёмная гильза индивидуальная (одна пробная гильза). Материал индивидуальной постоянной гильзы: литьевой слоистый пластик на основе акриловых смол, листовой термопластичный пластик в зависимости от индивидуальных особенностей Получателя. Допускается применение вкладной гильзы из вспененных материалов или без неё в зависимости от индивидуальных особенностей Получателя. Крепление протеза с использованием тканевого наколенника и силиконового лайнера или за счёт формы приёмной гильзы в зависимости от индивидуальных особенностей Получателя. Регулировочно-соединительные устройства должны соответствовать весу Получателя. Стопа подвижная во всех вертикальных плоскостях. 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Чехлы на культю голени шерстяные, хлопчатобумажные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в зависимости от индивидуальных особенностей 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  <w:tr w:rsidR="00FF4772" w:rsidRPr="00FF4772" w:rsidTr="00FA745A">
        <w:trPr>
          <w:trHeight w:val="55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8-07-09-2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98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E" w:rsidRPr="00FF4772" w:rsidRDefault="00980F3E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голени модульный, в том числе при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голени модульный, в том числе при недоразвитии 2-3 группы активности.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Получателя, допускается покрытие защитное пленочное. Приемная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 в зависимости от индивидуальных особенностей Получателя. В качестве вкладного элемента применяются чехлы полимерные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гелевые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крепление с использованием замка. В качестве регулировочно-соединительного устройства применяется </w:t>
            </w:r>
            <w:proofErr w:type="gram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торсионное</w:t>
            </w:r>
            <w:proofErr w:type="gram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РСУ. Стопа с повышенной упругостью носочной части, подвижная во всех плоскостях. Чехлы на культю голени шерстяные, хлопчатобумажные, в зависимости от индивидуальных особенностей 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Тип протеза: по назначению.</w:t>
            </w:r>
          </w:p>
        </w:tc>
      </w:tr>
      <w:tr w:rsidR="00FF4772" w:rsidRPr="00FF4772" w:rsidTr="00FA745A">
        <w:trPr>
          <w:trHeight w:val="84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8-07-09-3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980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E" w:rsidRPr="00FF4772" w:rsidRDefault="00980F3E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голени модульный, в том числе при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голени модульный, в том числе при недоразвитии 3-4 группы активности.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Получателя, допускается покрытие защитное пленочное. Приемная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 в зависимости от индивидуальных особенностей Получателя. В качестве вкладного элемента применяются чехлы полимерные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гелевые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, крепление с использованием замка. Стопа с гидравлическим голеностопным шарниром. Чехлы на культю голени шерстяные, хлопчатобумажные, в зависимости от индивидуальных особенностей 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Тип протеза: по назначению.</w:t>
            </w:r>
          </w:p>
        </w:tc>
      </w:tr>
      <w:tr w:rsidR="00FF4772" w:rsidRPr="00FF4772" w:rsidTr="00FA745A">
        <w:trPr>
          <w:trHeight w:val="830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E" w:rsidRPr="00FF4772" w:rsidRDefault="00980F3E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8-07-10-1</w:t>
            </w: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3E" w:rsidRPr="00FF4772" w:rsidRDefault="00980F3E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3E" w:rsidRPr="00FF4772" w:rsidRDefault="00980F3E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бедра модульный, в том числе при врожденном недоразвитии</w:t>
            </w: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1-2 группы активности.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Формообразующая часть косметической облицовки - модульная мягкая полиуретановая или из листового поролона в зависимости от индивидуальных особенностей Получателя.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Получателя, допускается наличие защитного пленочного покрытия. Приемная гильза индивидуальная, без пробных гильз или индивидуальная (одна пробная гильза) в зависимости от индивидуальных особенностей Получателя. Материал индивидуальной постоянной гильзы: литьевой слоистый пластик на основе акриловых смол или листовой термопластичный пластик в зависимости от индивидуальных особенностей Получателя. Наличие вкладной гильзы из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педилина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пенополиэтилена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или полиэтилена или без нее в зависимости от индивидуальных особенностей Получателя. Крепление протеза поясное, с использованием бандажа, или вакуумное в зависимости от индивидуальных особенностей Получателя. Стопа с повышенной упругостью носочной части. Коленный шарнир одноосный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беззамковый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с зависимым механическим регулированием фаз сгибания-разгибания или полицентрический с зависимым механическим регулированием фаз сгибания-разгибания, в зависимости от индивидуальных особенностей Получателя. Применяется поворотное устройство. Чехлы на культю бедра шерстяные, хлопчатобумажные, в зависимости от индивидуальных особенностей 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Тип протеза: по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назначению.</w:t>
            </w:r>
          </w:p>
        </w:tc>
      </w:tr>
      <w:tr w:rsidR="00FF4772" w:rsidRPr="00FF4772" w:rsidTr="00FA745A">
        <w:trPr>
          <w:trHeight w:val="416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8-07-10-2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бедра модульный, в том числе при врожденном недоразвитии </w:t>
            </w: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2-3 группы активности.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Формообразующая часть косметической облицовки - мягкая полиуретановая или из листового поролона в зависимости от индивидуальных особенностей Получателя.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индивидуальных особенностей Получателя, допускается покрытие защитное плёночное. Приемная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 в зависимости от индивидуальных особенностей Получателя. Наличие вкладной гильзы из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педилина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пенополиэтилена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, или полиэтилена в зависимости от индивидуальных особенностей Получателя или без нее в зависимости от индивидуальных особенностей Получателя. Крепление протеза с использованием бандажа или вакуумное в зависимости от индивидуальных особенностей Получателя. Стопа с повышенной упругостью носочной части. Коленный шарнир полицентрический с «геометрическим замком» с зависимым механическим регулированием фаз сгибания-разгибания, материал – титан, или одноосный с механизмом торможения с зависимым механическим регулированием фаз сгибания-разгибания в зависимости от индивидуальных особенностей Получателя. Применяется поворотное устройство. Чехлы на культю бедра шерстяные, хлопчатобумажные, в зависимости от индивидуальных особенностей 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Тип протеза: по назначению.</w:t>
            </w:r>
          </w:p>
        </w:tc>
      </w:tr>
      <w:tr w:rsidR="00FF4772" w:rsidRPr="00FF4772" w:rsidTr="00FA745A">
        <w:trPr>
          <w:trHeight w:val="830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79" w:rsidRPr="00FF4772" w:rsidRDefault="00EF1F79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F79" w:rsidRPr="00FF4772" w:rsidRDefault="00EF1F79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8-07-10-3</w:t>
            </w: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79" w:rsidRPr="00FF4772" w:rsidRDefault="00EF1F79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79" w:rsidRPr="00FF4772" w:rsidRDefault="00EF1F79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F79" w:rsidRPr="00FF4772" w:rsidRDefault="00EF1F79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F79" w:rsidRPr="00FF4772" w:rsidRDefault="00EF1F79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tabs>
                <w:tab w:val="left" w:pos="110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бедра модульный, в том числе при врожденном недоразвитии </w:t>
            </w:r>
            <w:r w:rsidRPr="00FF4772">
              <w:rPr>
                <w:rFonts w:ascii="Times New Roman" w:hAnsi="Times New Roman" w:cs="Times New Roman"/>
                <w:b/>
                <w:sz w:val="20"/>
                <w:szCs w:val="20"/>
              </w:rPr>
              <w:t>3-4 группы активности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силоновые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допускается покрытие защитное пленочное в зависимости от индивидуальных особенностей Получателя Приёмная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термопластичный пластик в зависимости от индивидуальных особенностей Получателя. Наличие вкладной гильзы из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педилина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пенополиэтилена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или полиэтилена в зависимости от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особенностей Получателя. Крепление протеза вакуумное. Стопа имеет анатомическое движение в системе щиколотка-стопа, имеет карбоновые пружины и обеспечивает энергичный перекат. Коленный модуль имеет оптимизированный механизм и включает в себя гидравлический цилиндр управления и прецизионные подшипники. Чехлы на культю бедра шерстяные, хлопчатобумажные, в зависимости от индивидуальных особенностей 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Тип протеза: по назначению.</w:t>
            </w:r>
          </w:p>
        </w:tc>
      </w:tr>
      <w:tr w:rsidR="00D0337D" w:rsidRPr="00FF4772" w:rsidTr="00FA745A">
        <w:trPr>
          <w:trHeight w:val="829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D033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3E" w:rsidRPr="00FF4772" w:rsidRDefault="00980F3E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8-07-11</w:t>
            </w:r>
          </w:p>
          <w:p w:rsidR="00D0337D" w:rsidRPr="00FF4772" w:rsidRDefault="00D0337D" w:rsidP="00B61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32.50.22.121 - Протезы внешние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7D" w:rsidRPr="00FF4772" w:rsidRDefault="00D0337D" w:rsidP="00B6163D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D" w:rsidRPr="00FF4772" w:rsidRDefault="00D0337D" w:rsidP="00B6163D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Протез при вычленении бедра модульный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7D" w:rsidRPr="00FF4772" w:rsidRDefault="00D0337D" w:rsidP="00C24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Протез при вычленении бедра модульный.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перлоновые</w:t>
            </w:r>
            <w:proofErr w:type="spellEnd"/>
            <w:r w:rsidRPr="00FF4772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покрытия защитного пленочного или без него в зависимости от индивидуальных особенностей Получателя. Приёмная гильза индивидуальная (одна пробная гильза). Материал индивидуальной постоянной гильзы – литьевой слоистый пластик на основе акриловых смол или листовой термопластичный пластик. Стопа с высокой степенью энергосбережения или с бесступенчато-регулируемой пациентом высотой каблука. Модульный тазобедренный шарнир моноцентрический, с фиксатором, с "геометрическим замком" с независимым гидравлическим регулированием фаз сгибания-разгибания. 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Чехлы на культю бедра шерстяные, хлопчатобумажные в зависимости от индивидуальных особенностей Получателя. 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Pr="00FF47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FF4772">
              <w:rPr>
                <w:rFonts w:ascii="Times New Roman" w:hAnsi="Times New Roman" w:cs="Times New Roman"/>
                <w:sz w:val="20"/>
                <w:szCs w:val="20"/>
              </w:rPr>
              <w:t>Тип протеза – по назначению.</w:t>
            </w:r>
          </w:p>
        </w:tc>
      </w:tr>
    </w:tbl>
    <w:p w:rsidR="00255C25" w:rsidRPr="00FF4772" w:rsidRDefault="00255C25" w:rsidP="00FA745A">
      <w:pPr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Место выполнения работ</w:t>
      </w:r>
      <w:r w:rsidR="00220592" w:rsidRPr="00FF4772">
        <w:rPr>
          <w:rFonts w:ascii="Times New Roman" w:hAnsi="Times New Roman" w:cs="Times New Roman"/>
          <w:b/>
          <w:sz w:val="26"/>
          <w:szCs w:val="26"/>
        </w:rPr>
        <w:t>: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В пределах административных границ субъекта Российской Федерации - Омской области с правом выбора Получателя снятия мерок, примерки и получения ПОИ одним из следующих способов: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- по месту жительства (месту пребывания, фактического проживания) Получателя;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- в стационарных пунктах выдачи, организованных Подрядчиком в соответствии с приказом Министерства труда и социальной защиты Российской Федерации от 30</w:t>
      </w:r>
      <w:r w:rsidR="00151AE7" w:rsidRPr="00FF4772">
        <w:rPr>
          <w:rFonts w:ascii="Times New Roman" w:hAnsi="Times New Roman" w:cs="Times New Roman"/>
          <w:sz w:val="26"/>
          <w:szCs w:val="26"/>
        </w:rPr>
        <w:t>.07.</w:t>
      </w:r>
      <w:r w:rsidRPr="00FF4772">
        <w:rPr>
          <w:rFonts w:ascii="Times New Roman" w:hAnsi="Times New Roman" w:cs="Times New Roman"/>
          <w:sz w:val="26"/>
          <w:szCs w:val="26"/>
        </w:rPr>
        <w:t xml:space="preserve">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</w:p>
    <w:p w:rsidR="00FD174C" w:rsidRPr="00FF4772" w:rsidRDefault="00B020A5" w:rsidP="00451A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Пункты выдачи Подрядчика должны быть оснащены видеокамерами.</w:t>
      </w:r>
    </w:p>
    <w:p w:rsidR="00B020A5" w:rsidRPr="00FF4772" w:rsidRDefault="00B020A5" w:rsidP="00451AC3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Срок выполнения работ</w:t>
      </w:r>
      <w:r w:rsidRPr="00FF47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020A5" w:rsidRPr="00FF4772" w:rsidRDefault="00B020A5" w:rsidP="00451A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Выполнение работ и выдача </w:t>
      </w:r>
      <w:proofErr w:type="gramStart"/>
      <w:r w:rsidRPr="00FF4772">
        <w:rPr>
          <w:rFonts w:ascii="Times New Roman" w:hAnsi="Times New Roman" w:cs="Times New Roman"/>
          <w:sz w:val="26"/>
          <w:szCs w:val="26"/>
        </w:rPr>
        <w:t>ПОИ Получателям осуществляется</w:t>
      </w:r>
      <w:proofErr w:type="gramEnd"/>
      <w:r w:rsidRPr="00FF4772">
        <w:rPr>
          <w:rFonts w:ascii="Times New Roman" w:hAnsi="Times New Roman" w:cs="Times New Roman"/>
          <w:sz w:val="26"/>
          <w:szCs w:val="26"/>
        </w:rPr>
        <w:t xml:space="preserve"> не позднее 30</w:t>
      </w:r>
      <w:r w:rsidRPr="00FF47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4772">
        <w:rPr>
          <w:rFonts w:ascii="Times New Roman" w:hAnsi="Times New Roman" w:cs="Times New Roman"/>
          <w:sz w:val="26"/>
          <w:szCs w:val="26"/>
        </w:rPr>
        <w:t xml:space="preserve">(тридцати) дней со дня обращения </w:t>
      </w:r>
      <w:r w:rsidRPr="00FF4772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Получателя с Направлением к Подрядчику и/ или получения от Заказчика реестра Получателей. </w:t>
      </w:r>
    </w:p>
    <w:p w:rsidR="00B020A5" w:rsidRPr="00FF4772" w:rsidRDefault="00B020A5" w:rsidP="00451A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Выполнение работ после </w:t>
      </w:r>
      <w:r w:rsidRPr="00FF4772">
        <w:rPr>
          <w:rFonts w:ascii="Times New Roman" w:hAnsi="Times New Roman" w:cs="Times New Roman"/>
          <w:b/>
          <w:sz w:val="26"/>
          <w:szCs w:val="26"/>
        </w:rPr>
        <w:t>30 ноября 2023</w:t>
      </w:r>
      <w:r w:rsidRPr="00FF4772">
        <w:rPr>
          <w:rFonts w:ascii="Times New Roman" w:hAnsi="Times New Roman" w:cs="Times New Roman"/>
          <w:sz w:val="26"/>
          <w:szCs w:val="26"/>
        </w:rPr>
        <w:t xml:space="preserve"> </w:t>
      </w:r>
      <w:r w:rsidRPr="00FF4772">
        <w:rPr>
          <w:rFonts w:ascii="Times New Roman" w:hAnsi="Times New Roman" w:cs="Times New Roman"/>
          <w:b/>
          <w:sz w:val="26"/>
          <w:szCs w:val="26"/>
        </w:rPr>
        <w:t>года</w:t>
      </w:r>
      <w:r w:rsidRPr="00FF4772">
        <w:rPr>
          <w:rFonts w:ascii="Times New Roman" w:hAnsi="Times New Roman" w:cs="Times New Roman"/>
          <w:sz w:val="26"/>
          <w:szCs w:val="26"/>
        </w:rPr>
        <w:t xml:space="preserve"> не осуществляется.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Требования к качеству работ:</w:t>
      </w:r>
    </w:p>
    <w:p w:rsidR="00B020A5" w:rsidRPr="00FF4772" w:rsidRDefault="00EA2339" w:rsidP="00451AC3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ab/>
      </w:r>
      <w:r w:rsidR="00B020A5" w:rsidRPr="00FF4772">
        <w:rPr>
          <w:rFonts w:ascii="Times New Roman" w:hAnsi="Times New Roman" w:cs="Times New Roman"/>
          <w:sz w:val="26"/>
          <w:szCs w:val="26"/>
        </w:rPr>
        <w:t>Проведение работ по обеспечению Получателей ПОИ должно осуществляться в соответствии со статьей 38 Федерального закона от 21.11.2011 №</w:t>
      </w:r>
      <w:r w:rsidR="001874AB" w:rsidRPr="00FF4772">
        <w:rPr>
          <w:rFonts w:ascii="Times New Roman" w:hAnsi="Times New Roman" w:cs="Times New Roman"/>
          <w:sz w:val="26"/>
          <w:szCs w:val="26"/>
        </w:rPr>
        <w:t xml:space="preserve"> </w:t>
      </w:r>
      <w:r w:rsidR="00B020A5" w:rsidRPr="00FF4772">
        <w:rPr>
          <w:rFonts w:ascii="Times New Roman" w:hAnsi="Times New Roman" w:cs="Times New Roman"/>
          <w:sz w:val="26"/>
          <w:szCs w:val="26"/>
        </w:rPr>
        <w:t>323-ФЗ «Об основах охраны здоровья граждан в Российской Федерации».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Требования к маркировке и упаковке:</w:t>
      </w:r>
    </w:p>
    <w:p w:rsidR="00B020A5" w:rsidRPr="00FF4772" w:rsidRDefault="00EA2339" w:rsidP="00451AC3">
      <w:pPr>
        <w:tabs>
          <w:tab w:val="left" w:pos="720"/>
        </w:tabs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ab/>
      </w:r>
      <w:r w:rsidR="00B020A5" w:rsidRPr="00FF4772">
        <w:rPr>
          <w:rFonts w:ascii="Times New Roman" w:hAnsi="Times New Roman" w:cs="Times New Roman"/>
          <w:sz w:val="26"/>
          <w:szCs w:val="26"/>
        </w:rPr>
        <w:t xml:space="preserve">Каждое ПОИ должно иметь этикетку. На этикетке должны быть указаны условия </w:t>
      </w:r>
      <w:proofErr w:type="spellStart"/>
      <w:r w:rsidR="00B020A5" w:rsidRPr="00FF4772">
        <w:rPr>
          <w:rFonts w:ascii="Times New Roman" w:hAnsi="Times New Roman" w:cs="Times New Roman"/>
          <w:sz w:val="26"/>
          <w:szCs w:val="26"/>
        </w:rPr>
        <w:t>нагружения</w:t>
      </w:r>
      <w:proofErr w:type="spellEnd"/>
      <w:r w:rsidR="00B020A5" w:rsidRPr="00FF4772">
        <w:rPr>
          <w:rFonts w:ascii="Times New Roman" w:hAnsi="Times New Roman" w:cs="Times New Roman"/>
          <w:sz w:val="26"/>
          <w:szCs w:val="26"/>
        </w:rPr>
        <w:t xml:space="preserve"> и/или уро</w:t>
      </w:r>
      <w:r w:rsidR="001874AB" w:rsidRPr="00FF4772">
        <w:rPr>
          <w:rFonts w:ascii="Times New Roman" w:hAnsi="Times New Roman" w:cs="Times New Roman"/>
          <w:sz w:val="26"/>
          <w:szCs w:val="26"/>
        </w:rPr>
        <w:t>вни нагрузки, информация о диапа</w:t>
      </w:r>
      <w:r w:rsidR="00B020A5" w:rsidRPr="00FF4772">
        <w:rPr>
          <w:rFonts w:ascii="Times New Roman" w:hAnsi="Times New Roman" w:cs="Times New Roman"/>
          <w:sz w:val="26"/>
          <w:szCs w:val="26"/>
        </w:rPr>
        <w:t xml:space="preserve">зонах или ограничениях при </w:t>
      </w:r>
      <w:proofErr w:type="gramStart"/>
      <w:r w:rsidR="00B020A5" w:rsidRPr="00FF4772">
        <w:rPr>
          <w:rFonts w:ascii="Times New Roman" w:hAnsi="Times New Roman" w:cs="Times New Roman"/>
          <w:sz w:val="26"/>
          <w:szCs w:val="26"/>
        </w:rPr>
        <w:t>назначенном</w:t>
      </w:r>
      <w:proofErr w:type="gramEnd"/>
      <w:r w:rsidR="00B020A5" w:rsidRPr="00FF4772">
        <w:rPr>
          <w:rFonts w:ascii="Times New Roman" w:hAnsi="Times New Roman" w:cs="Times New Roman"/>
          <w:sz w:val="26"/>
          <w:szCs w:val="26"/>
        </w:rPr>
        <w:t xml:space="preserve"> применения ПОИ.</w:t>
      </w:r>
    </w:p>
    <w:p w:rsidR="00B020A5" w:rsidRPr="00FF4772" w:rsidRDefault="00B020A5" w:rsidP="00451A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FF47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F4772">
        <w:rPr>
          <w:rFonts w:ascii="Times New Roman" w:hAnsi="Times New Roman" w:cs="Times New Roman"/>
          <w:b/>
          <w:sz w:val="26"/>
          <w:szCs w:val="26"/>
        </w:rPr>
        <w:t>результатам работ:</w:t>
      </w:r>
    </w:p>
    <w:p w:rsidR="00B020A5" w:rsidRPr="00FF4772" w:rsidRDefault="00B020A5" w:rsidP="00451AC3">
      <w:pPr>
        <w:autoSpaceDE w:val="0"/>
        <w:spacing w:after="0" w:line="257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Работы по обеспечению Получателя </w:t>
      </w:r>
      <w:proofErr w:type="gramStart"/>
      <w:r w:rsidRPr="00FF4772">
        <w:rPr>
          <w:rFonts w:ascii="Times New Roman" w:hAnsi="Times New Roman" w:cs="Times New Roman"/>
          <w:sz w:val="26"/>
          <w:szCs w:val="26"/>
        </w:rPr>
        <w:t>ПОИ</w:t>
      </w:r>
      <w:proofErr w:type="gramEnd"/>
      <w:r w:rsidRPr="00FF4772">
        <w:rPr>
          <w:rFonts w:ascii="Times New Roman" w:hAnsi="Times New Roman" w:cs="Times New Roman"/>
          <w:sz w:val="26"/>
          <w:szCs w:val="26"/>
        </w:rPr>
        <w:t xml:space="preserve"> следует считать эффективно исполненными, если у Получателя полностью или частично восстановлена опорная и двигательная функции конечности, созданы условия для предупреждения развития деформации или благоприятного течения болезни, обеспечивают Получателю безопасность для кожных покровов и комфорт при</w:t>
      </w:r>
      <w:r w:rsidRPr="00FF4772">
        <w:rPr>
          <w:rFonts w:ascii="Times New Roman" w:hAnsi="Times New Roman" w:cs="Times New Roman"/>
          <w:spacing w:val="-1"/>
          <w:sz w:val="26"/>
          <w:szCs w:val="26"/>
        </w:rPr>
        <w:t xml:space="preserve"> ношении.  </w:t>
      </w:r>
    </w:p>
    <w:p w:rsidR="00B020A5" w:rsidRPr="00FF4772" w:rsidRDefault="00B020A5" w:rsidP="00451AC3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Результаты выполненных работ должны соответствовать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</w:t>
      </w:r>
    </w:p>
    <w:p w:rsidR="00B020A5" w:rsidRPr="00FF4772" w:rsidRDefault="00B020A5" w:rsidP="00451AC3">
      <w:pPr>
        <w:autoSpaceDE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Работы по обеспечению Получателя ПОИ должны быть выполнены с надлежащим качеством и в установленные сроки.</w:t>
      </w:r>
    </w:p>
    <w:p w:rsidR="00B020A5" w:rsidRPr="00FF4772" w:rsidRDefault="00B020A5" w:rsidP="00451AC3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FF47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F4772">
        <w:rPr>
          <w:rFonts w:ascii="Times New Roman" w:hAnsi="Times New Roman" w:cs="Times New Roman"/>
          <w:b/>
          <w:sz w:val="26"/>
          <w:szCs w:val="26"/>
        </w:rPr>
        <w:t>предоставлению гарантии качества работ</w:t>
      </w:r>
      <w:r w:rsidR="005A76DF" w:rsidRPr="00FF4772">
        <w:rPr>
          <w:rFonts w:ascii="Times New Roman" w:hAnsi="Times New Roman" w:cs="Times New Roman"/>
          <w:b/>
          <w:sz w:val="26"/>
          <w:szCs w:val="26"/>
        </w:rPr>
        <w:t>:</w:t>
      </w:r>
    </w:p>
    <w:p w:rsidR="00B020A5" w:rsidRPr="00FF4772" w:rsidRDefault="00B020A5" w:rsidP="00451AC3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Срок службы протезов должен соответствовать срокам пользования протезно-ортопедическими изделиями, установленным приказом от 05.03.2021 </w:t>
      </w:r>
      <w:r w:rsidR="00965C58" w:rsidRPr="00FF4772">
        <w:rPr>
          <w:rFonts w:ascii="Times New Roman" w:hAnsi="Times New Roman" w:cs="Times New Roman"/>
          <w:sz w:val="26"/>
          <w:szCs w:val="26"/>
        </w:rPr>
        <w:t xml:space="preserve">№ </w:t>
      </w:r>
      <w:r w:rsidRPr="00FF4772">
        <w:rPr>
          <w:rFonts w:ascii="Times New Roman" w:hAnsi="Times New Roman" w:cs="Times New Roman"/>
          <w:sz w:val="26"/>
          <w:szCs w:val="26"/>
        </w:rPr>
        <w:t>107н «Об утверждении Сроков пользования техническими средствами реабилитации, протезами и протезно-ортопедическими изделиями</w:t>
      </w:r>
      <w:r w:rsidR="00585A5F" w:rsidRPr="00FF4772">
        <w:rPr>
          <w:rFonts w:ascii="Times New Roman" w:hAnsi="Times New Roman" w:cs="Times New Roman"/>
          <w:sz w:val="26"/>
          <w:szCs w:val="26"/>
        </w:rPr>
        <w:t>»</w:t>
      </w:r>
      <w:r w:rsidRPr="00FF4772">
        <w:rPr>
          <w:rFonts w:ascii="Times New Roman" w:hAnsi="Times New Roman" w:cs="Times New Roman"/>
          <w:sz w:val="26"/>
          <w:szCs w:val="26"/>
        </w:rPr>
        <w:t xml:space="preserve"> Минтруда России. Протезы должны быть </w:t>
      </w:r>
      <w:proofErr w:type="spellStart"/>
      <w:r w:rsidRPr="00FF4772">
        <w:rPr>
          <w:rFonts w:ascii="Times New Roman" w:hAnsi="Times New Roman" w:cs="Times New Roman"/>
          <w:sz w:val="26"/>
          <w:szCs w:val="26"/>
        </w:rPr>
        <w:t>ремонтопригодными</w:t>
      </w:r>
      <w:proofErr w:type="spellEnd"/>
      <w:r w:rsidRPr="00FF4772">
        <w:rPr>
          <w:rFonts w:ascii="Times New Roman" w:hAnsi="Times New Roman" w:cs="Times New Roman"/>
          <w:sz w:val="26"/>
          <w:szCs w:val="26"/>
        </w:rPr>
        <w:t xml:space="preserve"> в течение срока службы. Число и номенклатура запасных деталей и (или) узлов должны быть указаны на протез конкретного вида.</w:t>
      </w:r>
    </w:p>
    <w:p w:rsidR="00B020A5" w:rsidRPr="00FF4772" w:rsidRDefault="00B020A5" w:rsidP="00451AC3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4772">
        <w:rPr>
          <w:sz w:val="26"/>
          <w:szCs w:val="26"/>
        </w:rPr>
        <w:t xml:space="preserve">Узлы, входящие в состав протеза, срок службы которых менее срока службы протеза в целом, следует </w:t>
      </w:r>
      <w:proofErr w:type="gramStart"/>
      <w:r w:rsidRPr="00FF4772">
        <w:rPr>
          <w:sz w:val="26"/>
          <w:szCs w:val="26"/>
        </w:rPr>
        <w:t>заменять на запасные</w:t>
      </w:r>
      <w:proofErr w:type="gramEnd"/>
      <w:r w:rsidRPr="00FF4772">
        <w:rPr>
          <w:sz w:val="26"/>
          <w:szCs w:val="26"/>
        </w:rPr>
        <w:t xml:space="preserve"> из комплекта поставки. Порядок замены должен быть установлен на протез конкретного вида.</w:t>
      </w:r>
    </w:p>
    <w:p w:rsidR="00B020A5" w:rsidRPr="00FF4772" w:rsidRDefault="00B020A5" w:rsidP="00451AC3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F4772">
        <w:rPr>
          <w:sz w:val="26"/>
          <w:szCs w:val="26"/>
        </w:rPr>
        <w:t xml:space="preserve">Гарантийный срок на </w:t>
      </w:r>
      <w:proofErr w:type="gramStart"/>
      <w:r w:rsidRPr="00FF4772">
        <w:rPr>
          <w:sz w:val="26"/>
          <w:szCs w:val="26"/>
        </w:rPr>
        <w:t>ПОИ</w:t>
      </w:r>
      <w:proofErr w:type="gramEnd"/>
      <w:r w:rsidRPr="00FF4772">
        <w:rPr>
          <w:sz w:val="26"/>
          <w:szCs w:val="26"/>
        </w:rPr>
        <w:t xml:space="preserve"> устанавливается со дня его выдачи в эксплуатацию и составляет на: протезы стоп - 12 месяцев, протезы модульные, немодульные для взрослых - 24 месяцев, протезы модульные, немодульные для детей - 12 месяцев; протезы для купания для взрослых - 36 месяцев, протезы для купания для детей - 12 месяцев.</w:t>
      </w:r>
    </w:p>
    <w:p w:rsidR="00B020A5" w:rsidRPr="00FF4772" w:rsidRDefault="00B020A5" w:rsidP="00B020A5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F4772">
        <w:rPr>
          <w:sz w:val="26"/>
          <w:szCs w:val="26"/>
        </w:rPr>
        <w:lastRenderedPageBreak/>
        <w:t xml:space="preserve">Подрядчик производит ремонт или замену ПОИ, вышедшего из строя до истечения гарантийного срока не по вине Получателя, и в случае необходимости проезда Получателя </w:t>
      </w:r>
      <w:r w:rsidRPr="00FF4772">
        <w:rPr>
          <w:bCs/>
          <w:sz w:val="26"/>
          <w:szCs w:val="26"/>
        </w:rPr>
        <w:t>к месту нахождения Подрядчика или организованному на территории Омской области пункту ремонта ПОИ</w:t>
      </w:r>
      <w:r w:rsidRPr="00FF4772">
        <w:rPr>
          <w:sz w:val="26"/>
          <w:szCs w:val="26"/>
        </w:rPr>
        <w:t>, а также сопровождающему лицу, возмещает (оплачивает) за счет собственных средств. В случае невозможности осуществления ремонта ПОИ, в период гарантийного срока, Подрядчик должен осуществить замену такого ПОИ.</w:t>
      </w:r>
    </w:p>
    <w:p w:rsidR="00B020A5" w:rsidRPr="00FF4772" w:rsidRDefault="00B020A5" w:rsidP="00B020A5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F4772">
        <w:rPr>
          <w:sz w:val="26"/>
          <w:szCs w:val="26"/>
        </w:rPr>
        <w:t xml:space="preserve">В случае устранения недостатков (дефектов) течение гарантийного срока прерывается на все время, на протяжении которого </w:t>
      </w:r>
      <w:proofErr w:type="gramStart"/>
      <w:r w:rsidRPr="00FF4772">
        <w:rPr>
          <w:sz w:val="26"/>
          <w:szCs w:val="26"/>
        </w:rPr>
        <w:t>ПОИ не могло</w:t>
      </w:r>
      <w:proofErr w:type="gramEnd"/>
      <w:r w:rsidRPr="00FF4772">
        <w:rPr>
          <w:sz w:val="26"/>
          <w:szCs w:val="26"/>
        </w:rPr>
        <w:t xml:space="preserve"> использоваться вследствие недостатков (дефектов). При замене ПОИ в целом либо составных его частей или комплектующих изделий гарантийный срок исчисляется заново со дня замены.</w:t>
      </w:r>
    </w:p>
    <w:p w:rsidR="00B020A5" w:rsidRPr="00FF4772" w:rsidRDefault="00B020A5" w:rsidP="005A76DF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Срок выполнения гарантийного ремонта со дня обращения Получателя не должен превышать </w:t>
      </w:r>
      <w:r w:rsidRPr="00FF4772">
        <w:rPr>
          <w:rFonts w:ascii="Times New Roman" w:hAnsi="Times New Roman" w:cs="Times New Roman"/>
          <w:b/>
          <w:sz w:val="26"/>
          <w:szCs w:val="26"/>
        </w:rPr>
        <w:t>15</w:t>
      </w:r>
      <w:r w:rsidRPr="00FF4772">
        <w:rPr>
          <w:rFonts w:ascii="Times New Roman" w:hAnsi="Times New Roman" w:cs="Times New Roman"/>
          <w:sz w:val="26"/>
          <w:szCs w:val="26"/>
        </w:rPr>
        <w:t xml:space="preserve"> рабочих дней. Обеспечение возможности ремонта, устранения недостатков при выполнении работ по изготовлению </w:t>
      </w:r>
      <w:proofErr w:type="gramStart"/>
      <w:r w:rsidRPr="00FF4772">
        <w:rPr>
          <w:rFonts w:ascii="Times New Roman" w:hAnsi="Times New Roman" w:cs="Times New Roman"/>
          <w:sz w:val="26"/>
          <w:szCs w:val="26"/>
        </w:rPr>
        <w:t>ПОИ</w:t>
      </w:r>
      <w:proofErr w:type="gramEnd"/>
      <w:r w:rsidRPr="00FF4772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r w:rsidR="000A314D" w:rsidRPr="00FF4772">
        <w:rPr>
          <w:rFonts w:ascii="Times New Roman" w:hAnsi="Times New Roman" w:cs="Times New Roman"/>
          <w:sz w:val="26"/>
          <w:szCs w:val="26"/>
        </w:rPr>
        <w:t xml:space="preserve"> З</w:t>
      </w:r>
      <w:r w:rsidRPr="00FF4772"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0A314D" w:rsidRPr="00FF4772">
        <w:rPr>
          <w:rFonts w:ascii="Times New Roman" w:hAnsi="Times New Roman" w:cs="Times New Roman"/>
          <w:sz w:val="26"/>
          <w:szCs w:val="26"/>
        </w:rPr>
        <w:t xml:space="preserve">РФ </w:t>
      </w:r>
      <w:r w:rsidRPr="00FF4772">
        <w:rPr>
          <w:rFonts w:ascii="Times New Roman" w:hAnsi="Times New Roman" w:cs="Times New Roman"/>
          <w:sz w:val="26"/>
          <w:szCs w:val="26"/>
        </w:rPr>
        <w:t>от 07.02.1992 № 2300-1 «О защите прав потребителей». В случае невозможности осуществления ремонта ПОИ, в период гарантийного срока, Подрядчик должен осуществить замену такого ПОИ.</w:t>
      </w:r>
    </w:p>
    <w:p w:rsidR="00B020A5" w:rsidRPr="00FF4772" w:rsidRDefault="00B020A5" w:rsidP="00965C58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Объём гарантийных обязательств</w:t>
      </w:r>
      <w:r w:rsidRPr="00FF4772">
        <w:rPr>
          <w:rFonts w:ascii="Times New Roman" w:hAnsi="Times New Roman" w:cs="Times New Roman"/>
          <w:sz w:val="26"/>
          <w:szCs w:val="26"/>
        </w:rPr>
        <w:t>:</w:t>
      </w:r>
    </w:p>
    <w:p w:rsidR="00B020A5" w:rsidRPr="00FF4772" w:rsidRDefault="00B020A5" w:rsidP="00965C58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:rsidR="00B020A5" w:rsidRPr="00FF4772" w:rsidRDefault="00B020A5" w:rsidP="00F619B6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- приём Получателя специалистами Подрядчика для диагностики состояния опорно-двигательного аппарата, определения характера и степени поломки (деформации, износа) ПОИ, с оформлением в тот же день соответствующего заключения и </w:t>
      </w:r>
      <w:proofErr w:type="gramStart"/>
      <w:r w:rsidRPr="00FF4772">
        <w:rPr>
          <w:rFonts w:ascii="Times New Roman" w:hAnsi="Times New Roman" w:cs="Times New Roman"/>
          <w:sz w:val="26"/>
          <w:szCs w:val="26"/>
        </w:rPr>
        <w:t>заказ-наряда</w:t>
      </w:r>
      <w:proofErr w:type="gramEnd"/>
      <w:r w:rsidRPr="00FF4772">
        <w:rPr>
          <w:rFonts w:ascii="Times New Roman" w:hAnsi="Times New Roman" w:cs="Times New Roman"/>
          <w:sz w:val="26"/>
          <w:szCs w:val="26"/>
        </w:rPr>
        <w:t xml:space="preserve"> на ремонт ПОИ;</w:t>
      </w:r>
    </w:p>
    <w:p w:rsidR="00B020A5" w:rsidRPr="00FF4772" w:rsidRDefault="00B020A5" w:rsidP="00B020A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sz w:val="26"/>
          <w:szCs w:val="26"/>
        </w:rPr>
        <w:t xml:space="preserve">-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</w:t>
      </w:r>
      <w:r w:rsidRPr="00FF4772">
        <w:rPr>
          <w:rFonts w:ascii="Times New Roman" w:hAnsi="Times New Roman" w:cs="Times New Roman"/>
          <w:b/>
          <w:sz w:val="26"/>
          <w:szCs w:val="26"/>
        </w:rPr>
        <w:t>3</w:t>
      </w:r>
      <w:r w:rsidRPr="00FF4772">
        <w:rPr>
          <w:rFonts w:ascii="Times New Roman" w:hAnsi="Times New Roman" w:cs="Times New Roman"/>
          <w:sz w:val="26"/>
          <w:szCs w:val="26"/>
        </w:rPr>
        <w:t xml:space="preserve"> (трех) дней, с даты оформления </w:t>
      </w:r>
      <w:proofErr w:type="gramStart"/>
      <w:r w:rsidRPr="00FF4772">
        <w:rPr>
          <w:rFonts w:ascii="Times New Roman" w:hAnsi="Times New Roman" w:cs="Times New Roman"/>
          <w:sz w:val="26"/>
          <w:szCs w:val="26"/>
        </w:rPr>
        <w:t>заказ-наряда</w:t>
      </w:r>
      <w:proofErr w:type="gramEnd"/>
      <w:r w:rsidR="0074798B" w:rsidRPr="00FF4772">
        <w:rPr>
          <w:rFonts w:ascii="Times New Roman" w:hAnsi="Times New Roman" w:cs="Times New Roman"/>
          <w:sz w:val="26"/>
          <w:szCs w:val="26"/>
        </w:rPr>
        <w:t>.</w:t>
      </w: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15A0" w:rsidRPr="00FF4772" w:rsidRDefault="005A15A0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5A15A0" w:rsidRPr="00FF4772" w:rsidSect="00FA745A">
      <w:headerReference w:type="default" r:id="rId9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D0" w:rsidRDefault="001C70D0" w:rsidP="002C1C0F">
      <w:pPr>
        <w:spacing w:after="0" w:line="240" w:lineRule="auto"/>
      </w:pPr>
      <w:r>
        <w:separator/>
      </w:r>
    </w:p>
  </w:endnote>
  <w:endnote w:type="continuationSeparator" w:id="0">
    <w:p w:rsidR="001C70D0" w:rsidRDefault="001C70D0" w:rsidP="002C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D0" w:rsidRDefault="001C70D0" w:rsidP="002C1C0F">
      <w:pPr>
        <w:spacing w:after="0" w:line="240" w:lineRule="auto"/>
      </w:pPr>
      <w:r>
        <w:separator/>
      </w:r>
    </w:p>
  </w:footnote>
  <w:footnote w:type="continuationSeparator" w:id="0">
    <w:p w:rsidR="001C70D0" w:rsidRDefault="001C70D0" w:rsidP="002C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4D" w:rsidRPr="002C1C0F" w:rsidRDefault="00691429" w:rsidP="002C1C0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C1C0F">
      <w:rPr>
        <w:rFonts w:ascii="Times New Roman" w:hAnsi="Times New Roman" w:cs="Times New Roman"/>
        <w:sz w:val="20"/>
        <w:szCs w:val="20"/>
      </w:rPr>
      <w:fldChar w:fldCharType="begin"/>
    </w:r>
    <w:r w:rsidR="000A314D" w:rsidRPr="002C1C0F">
      <w:rPr>
        <w:rFonts w:ascii="Times New Roman" w:hAnsi="Times New Roman" w:cs="Times New Roman"/>
        <w:sz w:val="20"/>
        <w:szCs w:val="20"/>
      </w:rPr>
      <w:instrText>PAGE   \* MERGEFORMAT</w:instrText>
    </w:r>
    <w:r w:rsidRPr="002C1C0F">
      <w:rPr>
        <w:rFonts w:ascii="Times New Roman" w:hAnsi="Times New Roman" w:cs="Times New Roman"/>
        <w:sz w:val="20"/>
        <w:szCs w:val="20"/>
      </w:rPr>
      <w:fldChar w:fldCharType="separate"/>
    </w:r>
    <w:r w:rsidR="00FF4772">
      <w:rPr>
        <w:rFonts w:ascii="Times New Roman" w:hAnsi="Times New Roman" w:cs="Times New Roman"/>
        <w:noProof/>
        <w:sz w:val="20"/>
        <w:szCs w:val="20"/>
      </w:rPr>
      <w:t>7</w:t>
    </w:r>
    <w:r w:rsidRPr="002C1C0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3BA7"/>
    <w:rsid w:val="000242CE"/>
    <w:rsid w:val="00034806"/>
    <w:rsid w:val="00035DB9"/>
    <w:rsid w:val="00083374"/>
    <w:rsid w:val="000A314D"/>
    <w:rsid w:val="000E6FE5"/>
    <w:rsid w:val="00102BE0"/>
    <w:rsid w:val="00134702"/>
    <w:rsid w:val="001441FC"/>
    <w:rsid w:val="00151AE7"/>
    <w:rsid w:val="001665B5"/>
    <w:rsid w:val="001874AB"/>
    <w:rsid w:val="001C70D0"/>
    <w:rsid w:val="001C7AFA"/>
    <w:rsid w:val="001D0619"/>
    <w:rsid w:val="001D11E2"/>
    <w:rsid w:val="00210A85"/>
    <w:rsid w:val="00217F52"/>
    <w:rsid w:val="00220592"/>
    <w:rsid w:val="00232431"/>
    <w:rsid w:val="00243272"/>
    <w:rsid w:val="00251D76"/>
    <w:rsid w:val="00255C25"/>
    <w:rsid w:val="00261CE4"/>
    <w:rsid w:val="002635AB"/>
    <w:rsid w:val="00270472"/>
    <w:rsid w:val="002A0F16"/>
    <w:rsid w:val="002C1C0F"/>
    <w:rsid w:val="002C42B7"/>
    <w:rsid w:val="002C5839"/>
    <w:rsid w:val="002C75D2"/>
    <w:rsid w:val="002E0C4C"/>
    <w:rsid w:val="00342DE5"/>
    <w:rsid w:val="003541CC"/>
    <w:rsid w:val="00357BB5"/>
    <w:rsid w:val="003703E3"/>
    <w:rsid w:val="00380648"/>
    <w:rsid w:val="00385416"/>
    <w:rsid w:val="00403D80"/>
    <w:rsid w:val="00413C44"/>
    <w:rsid w:val="00414D69"/>
    <w:rsid w:val="00417EF1"/>
    <w:rsid w:val="00450496"/>
    <w:rsid w:val="00451AC3"/>
    <w:rsid w:val="004639FF"/>
    <w:rsid w:val="00475897"/>
    <w:rsid w:val="004839AD"/>
    <w:rsid w:val="00486593"/>
    <w:rsid w:val="004A0E33"/>
    <w:rsid w:val="004C33E5"/>
    <w:rsid w:val="005367D2"/>
    <w:rsid w:val="0054337C"/>
    <w:rsid w:val="0055255F"/>
    <w:rsid w:val="00567BB0"/>
    <w:rsid w:val="00585A5F"/>
    <w:rsid w:val="005A15A0"/>
    <w:rsid w:val="005A76DF"/>
    <w:rsid w:val="005C4469"/>
    <w:rsid w:val="005D49DB"/>
    <w:rsid w:val="005E33B7"/>
    <w:rsid w:val="00624B4D"/>
    <w:rsid w:val="006274AA"/>
    <w:rsid w:val="0063676B"/>
    <w:rsid w:val="00691429"/>
    <w:rsid w:val="006A24B3"/>
    <w:rsid w:val="006C7C6B"/>
    <w:rsid w:val="006D11CA"/>
    <w:rsid w:val="006D2CEE"/>
    <w:rsid w:val="006F21FA"/>
    <w:rsid w:val="006F3AAD"/>
    <w:rsid w:val="0074798B"/>
    <w:rsid w:val="007A5147"/>
    <w:rsid w:val="007B2096"/>
    <w:rsid w:val="007E129F"/>
    <w:rsid w:val="0081621D"/>
    <w:rsid w:val="008237B3"/>
    <w:rsid w:val="00863DD8"/>
    <w:rsid w:val="00865E59"/>
    <w:rsid w:val="00866648"/>
    <w:rsid w:val="00881252"/>
    <w:rsid w:val="008E19F6"/>
    <w:rsid w:val="008F417A"/>
    <w:rsid w:val="00904E17"/>
    <w:rsid w:val="009256EF"/>
    <w:rsid w:val="009314BD"/>
    <w:rsid w:val="009475D5"/>
    <w:rsid w:val="00960D57"/>
    <w:rsid w:val="00963954"/>
    <w:rsid w:val="00965C58"/>
    <w:rsid w:val="00980F3E"/>
    <w:rsid w:val="0099414B"/>
    <w:rsid w:val="009A3EC4"/>
    <w:rsid w:val="009B0784"/>
    <w:rsid w:val="009C3B8D"/>
    <w:rsid w:val="009F13F8"/>
    <w:rsid w:val="00A52202"/>
    <w:rsid w:val="00A616F4"/>
    <w:rsid w:val="00A933B1"/>
    <w:rsid w:val="00A96725"/>
    <w:rsid w:val="00AA0B84"/>
    <w:rsid w:val="00AC7F94"/>
    <w:rsid w:val="00AF07BA"/>
    <w:rsid w:val="00B020A5"/>
    <w:rsid w:val="00B27E5F"/>
    <w:rsid w:val="00B6163D"/>
    <w:rsid w:val="00B61B58"/>
    <w:rsid w:val="00B70973"/>
    <w:rsid w:val="00BE6228"/>
    <w:rsid w:val="00C24007"/>
    <w:rsid w:val="00C271DB"/>
    <w:rsid w:val="00C76446"/>
    <w:rsid w:val="00CB0EDD"/>
    <w:rsid w:val="00CB1E75"/>
    <w:rsid w:val="00D0337D"/>
    <w:rsid w:val="00D51A9A"/>
    <w:rsid w:val="00D51FD4"/>
    <w:rsid w:val="00D6517A"/>
    <w:rsid w:val="00D97BC4"/>
    <w:rsid w:val="00DA48D9"/>
    <w:rsid w:val="00DB62F7"/>
    <w:rsid w:val="00DE6593"/>
    <w:rsid w:val="00E5120C"/>
    <w:rsid w:val="00E54E2F"/>
    <w:rsid w:val="00E672AF"/>
    <w:rsid w:val="00EA2339"/>
    <w:rsid w:val="00EB0487"/>
    <w:rsid w:val="00EB5837"/>
    <w:rsid w:val="00EC294E"/>
    <w:rsid w:val="00EE2A9C"/>
    <w:rsid w:val="00EE3161"/>
    <w:rsid w:val="00EF1F79"/>
    <w:rsid w:val="00F54F17"/>
    <w:rsid w:val="00F619B6"/>
    <w:rsid w:val="00F91496"/>
    <w:rsid w:val="00F97D51"/>
    <w:rsid w:val="00FA745A"/>
    <w:rsid w:val="00FB3347"/>
    <w:rsid w:val="00FC7DCC"/>
    <w:rsid w:val="00FD174C"/>
    <w:rsid w:val="00FD4D3C"/>
    <w:rsid w:val="00FD78D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  <w:style w:type="paragraph" w:styleId="a7">
    <w:name w:val="Normal (Web)"/>
    <w:aliases w:val="Обычный (Web)"/>
    <w:basedOn w:val="a"/>
    <w:uiPriority w:val="99"/>
    <w:rsid w:val="00B0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9"/>
    <w:uiPriority w:val="34"/>
    <w:qFormat/>
    <w:rsid w:val="00B020A5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8"/>
    <w:uiPriority w:val="34"/>
    <w:qFormat/>
    <w:rsid w:val="00B020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616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163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163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6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163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  <w:style w:type="paragraph" w:styleId="a7">
    <w:name w:val="Normal (Web)"/>
    <w:aliases w:val="Обычный (Web)"/>
    <w:basedOn w:val="a"/>
    <w:uiPriority w:val="99"/>
    <w:rsid w:val="00B0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9"/>
    <w:uiPriority w:val="34"/>
    <w:qFormat/>
    <w:rsid w:val="00B020A5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8"/>
    <w:uiPriority w:val="34"/>
    <w:qFormat/>
    <w:rsid w:val="00B020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B5D9-47F4-404E-A756-1E3F328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Худорожко Александр Павлович</cp:lastModifiedBy>
  <cp:revision>6</cp:revision>
  <dcterms:created xsi:type="dcterms:W3CDTF">2023-07-31T04:33:00Z</dcterms:created>
  <dcterms:modified xsi:type="dcterms:W3CDTF">2023-08-04T10:24:00Z</dcterms:modified>
</cp:coreProperties>
</file>