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F" w:rsidRPr="001035CA" w:rsidRDefault="009A11EF" w:rsidP="009A11EF">
      <w:pPr>
        <w:autoSpaceDE w:val="0"/>
        <w:ind w:firstLine="709"/>
        <w:jc w:val="center"/>
        <w:rPr>
          <w:b/>
          <w:bCs/>
        </w:rPr>
      </w:pPr>
      <w:bookmarkStart w:id="0" w:name="_GoBack"/>
      <w:bookmarkEnd w:id="0"/>
      <w:r w:rsidRPr="001035CA">
        <w:rPr>
          <w:b/>
          <w:bCs/>
        </w:rPr>
        <w:t>Описание объекта закупки</w:t>
      </w:r>
    </w:p>
    <w:p w:rsidR="009A11EF" w:rsidRPr="001035CA" w:rsidRDefault="009A11EF" w:rsidP="009A11EF">
      <w:pPr>
        <w:rPr>
          <w:b/>
        </w:rPr>
      </w:pPr>
      <w:r w:rsidRPr="001035CA">
        <w:rPr>
          <w:b/>
        </w:rPr>
        <w:t>Требования к срокам и месту выполнения работ:</w:t>
      </w:r>
    </w:p>
    <w:p w:rsidR="009A11EF" w:rsidRPr="001035CA" w:rsidRDefault="009A11EF" w:rsidP="009A11EF">
      <w:pPr>
        <w:jc w:val="both"/>
      </w:pPr>
      <w:r w:rsidRPr="001035CA">
        <w:rPr>
          <w:b/>
        </w:rPr>
        <w:t>Сроки выполнения работ:</w:t>
      </w:r>
      <w:r w:rsidRPr="001035CA">
        <w:t xml:space="preserve"> </w:t>
      </w:r>
      <w:r w:rsidR="001732AB" w:rsidRPr="001732AB">
        <w:t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 в течение 28 (Двадцати восьми) дней с даты обращения Получателя к Исполнителю с направлением, выданным Заказчиком.</w:t>
      </w:r>
    </w:p>
    <w:p w:rsidR="009A11EF" w:rsidRPr="001035CA" w:rsidRDefault="009A11EF" w:rsidP="009A11EF">
      <w:pPr>
        <w:jc w:val="both"/>
      </w:pPr>
      <w:r w:rsidRPr="001035CA">
        <w:rPr>
          <w:b/>
        </w:rPr>
        <w:t>Срок исполнения контракта:</w:t>
      </w:r>
      <w:r w:rsidRPr="001035CA">
        <w:t xml:space="preserve"> </w:t>
      </w:r>
      <w:r w:rsidR="001732AB" w:rsidRPr="001732AB"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26.04.2024 года.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Исполнителя.</w:t>
      </w:r>
    </w:p>
    <w:p w:rsidR="009A11EF" w:rsidRPr="001035CA" w:rsidRDefault="009A11EF" w:rsidP="009A11EF">
      <w:pPr>
        <w:jc w:val="both"/>
        <w:rPr>
          <w:color w:val="000000"/>
          <w:spacing w:val="-4"/>
        </w:rPr>
      </w:pPr>
      <w:r w:rsidRPr="001035CA">
        <w:rPr>
          <w:b/>
          <w:bCs/>
          <w:color w:val="000000"/>
          <w:spacing w:val="-4"/>
        </w:rPr>
        <w:t xml:space="preserve">Место выполнения работ: </w:t>
      </w:r>
      <w:r w:rsidR="001732AB" w:rsidRPr="001732AB">
        <w:rPr>
          <w:color w:val="000000"/>
          <w:spacing w:val="-4"/>
        </w:rPr>
        <w:t>снятие мерок, выдача результата работы, в случае необходимости протезирование в условиях стационара и другие виды работ, требующие присутствие получателя, производятся в специализированных помещениях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место выполнения иных работ определяется Исполнителем самостоятельно.</w:t>
      </w:r>
    </w:p>
    <w:p w:rsidR="009A11EF" w:rsidRPr="001035CA" w:rsidRDefault="009A11EF" w:rsidP="009A11EF">
      <w:pPr>
        <w:jc w:val="both"/>
        <w:rPr>
          <w:b/>
          <w:lang w:eastAsia="ru-RU"/>
        </w:rPr>
      </w:pPr>
      <w:r w:rsidRPr="001035CA">
        <w:rPr>
          <w:b/>
          <w:lang w:eastAsia="ru-RU"/>
        </w:rPr>
        <w:t xml:space="preserve">Место и порядок передачи изделия получателю:   </w:t>
      </w:r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 xml:space="preserve"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работ.  </w:t>
      </w:r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 подтверждающим факт выполнения Работ, а дата его подписания является датой приемки выполненных Работ Получателем.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>В случае, если доставка Изделия Получателю осуществлялась службой доставки (почтовым отправлением), исполнитель в течение 5 рабочих дней со дня получения подтверждения факта доставки Изделия Получателю, направляет Заказчику документ/уведомление о вручении, подтверждающее факт доставки Изделия Получателю и подписанный Получателем акт сдачи-приемки Работ.</w:t>
      </w:r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>Обеспечить инструктаж и консультативную помощь Получателю по правильному пользованию изделием.</w:t>
      </w:r>
    </w:p>
    <w:p w:rsidR="009A11EF" w:rsidRDefault="00F16A75" w:rsidP="00F16A75">
      <w:pPr>
        <w:jc w:val="both"/>
        <w:rPr>
          <w:lang w:eastAsia="ru-RU"/>
        </w:rPr>
      </w:pPr>
      <w:r>
        <w:rPr>
          <w:lang w:eastAsia="ru-RU"/>
        </w:rPr>
        <w:t>Осуществлять фото-/видеофиксацию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1732AB" w:rsidRPr="001035CA" w:rsidRDefault="001732AB" w:rsidP="00F16A75">
      <w:pPr>
        <w:jc w:val="both"/>
        <w:rPr>
          <w:lang w:eastAsia="ru-RU"/>
        </w:rPr>
      </w:pPr>
    </w:p>
    <w:p w:rsidR="001732AB" w:rsidRDefault="001732AB" w:rsidP="001732AB">
      <w:pPr>
        <w:widowControl w:val="0"/>
        <w:suppressAutoHyphens w:val="0"/>
        <w:jc w:val="both"/>
        <w:rPr>
          <w:bCs/>
        </w:rPr>
      </w:pPr>
      <w:r w:rsidRPr="00F945C9">
        <w:rPr>
          <w:bCs/>
        </w:rPr>
        <w:t xml:space="preserve">Работы по изготовлению </w:t>
      </w:r>
      <w:r w:rsidRPr="00D230C5">
        <w:rPr>
          <w:bCs/>
        </w:rPr>
        <w:t>протеза бедра модульного с микропроцессорным управлением</w:t>
      </w:r>
      <w:r w:rsidRPr="00F945C9">
        <w:rPr>
          <w:bCs/>
        </w:rPr>
        <w:t>:</w:t>
      </w:r>
    </w:p>
    <w:tbl>
      <w:tblPr>
        <w:tblpPr w:leftFromText="180" w:rightFromText="180" w:vertAnchor="text" w:horzAnchor="margin" w:tblpY="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6519"/>
        <w:gridCol w:w="1276"/>
      </w:tblGrid>
      <w:tr w:rsidR="001732AB" w:rsidRPr="00F945C9" w:rsidTr="005A1F43">
        <w:trPr>
          <w:trHeight w:val="696"/>
        </w:trPr>
        <w:tc>
          <w:tcPr>
            <w:tcW w:w="2236" w:type="dxa"/>
            <w:shd w:val="clear" w:color="auto" w:fill="auto"/>
            <w:vAlign w:val="center"/>
          </w:tcPr>
          <w:p w:rsidR="001732AB" w:rsidRPr="00F945C9" w:rsidRDefault="001732AB" w:rsidP="005A1F43">
            <w:pPr>
              <w:snapToGrid w:val="0"/>
              <w:jc w:val="center"/>
            </w:pPr>
            <w:r w:rsidRPr="00F945C9">
              <w:t>Наименование изделия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1732AB" w:rsidRPr="00F945C9" w:rsidRDefault="001732AB" w:rsidP="005A1F43">
            <w:pPr>
              <w:snapToGrid w:val="0"/>
              <w:jc w:val="center"/>
            </w:pPr>
            <w:r w:rsidRPr="00F945C9">
              <w:t>Описание функциональных и технических характеристик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2AB" w:rsidRPr="00F945C9" w:rsidRDefault="001732AB" w:rsidP="005A1F43">
            <w:pPr>
              <w:snapToGrid w:val="0"/>
              <w:jc w:val="center"/>
            </w:pPr>
            <w:r w:rsidRPr="00F945C9">
              <w:t>Кол-во,</w:t>
            </w:r>
          </w:p>
          <w:p w:rsidR="001732AB" w:rsidRPr="00F945C9" w:rsidRDefault="001732AB" w:rsidP="005A1F43">
            <w:pPr>
              <w:snapToGrid w:val="0"/>
              <w:jc w:val="center"/>
            </w:pPr>
            <w:r w:rsidRPr="00F945C9">
              <w:t>(шт.)</w:t>
            </w:r>
          </w:p>
        </w:tc>
      </w:tr>
      <w:tr w:rsidR="001732AB" w:rsidRPr="00F945C9" w:rsidTr="005A1F43">
        <w:trPr>
          <w:trHeight w:val="785"/>
        </w:trPr>
        <w:tc>
          <w:tcPr>
            <w:tcW w:w="2236" w:type="dxa"/>
            <w:shd w:val="clear" w:color="auto" w:fill="auto"/>
            <w:vAlign w:val="center"/>
          </w:tcPr>
          <w:p w:rsidR="001732AB" w:rsidRPr="00F945C9" w:rsidRDefault="001732AB" w:rsidP="005A1F43">
            <w:pPr>
              <w:snapToGrid w:val="0"/>
              <w:jc w:val="center"/>
              <w:rPr>
                <w:kern w:val="2"/>
                <w:lang w:eastAsia="ru-RU"/>
              </w:rPr>
            </w:pPr>
            <w:r w:rsidRPr="00D230C5">
              <w:rPr>
                <w:kern w:val="2"/>
                <w:lang w:eastAsia="ru-RU"/>
              </w:rPr>
              <w:t>Протез бедра модульный с микропроцессорным управлением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1732AB" w:rsidRDefault="001732AB" w:rsidP="005A1F4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Несущая приемная гильза должна быть индивидуального изготовления, по слепку. Примерочная гильза должна быть из прозрачного термопластичного материала, а также из слоистых пластиков, создающих условия для тщательной индивидуальной подгонки изделия, что позволяет оптимально распределять нагрузку по всей поверхности культи в процессе использования протеза.</w:t>
            </w:r>
          </w:p>
          <w:p w:rsidR="001732AB" w:rsidRDefault="001732AB" w:rsidP="005A1F4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Коленный шарнир должен быть гидравлическим, с </w:t>
            </w:r>
            <w:r>
              <w:rPr>
                <w:lang w:eastAsia="ru-RU"/>
              </w:rPr>
              <w:lastRenderedPageBreak/>
              <w:t xml:space="preserve">электронной системой управления, с функцией автоматической подстройки коленного  шарнира под скорость и условия ходьбы пациента. С режимом, дающим возможность пациентам спускаться по лестнице и наклонной плоскости переменным шагом, с режимом полной фиксации под углом -  45 градусов. </w:t>
            </w:r>
          </w:p>
          <w:p w:rsidR="001732AB" w:rsidRDefault="001732AB" w:rsidP="005A1F4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Стопа должна быть углепластиковая, с высоким уровнем энергосбережения, адаптированная как для повседневного использования, так и для занятий спортивными упражнениями.</w:t>
            </w:r>
          </w:p>
          <w:p w:rsidR="001732AB" w:rsidRDefault="001732AB" w:rsidP="005A1F4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наличии должно быть поворотное регулировочное устройство, обеспечивающее возможность поворота согнутой в колене искусственной голени относительно гильзы для обеспечения самообслуживания пациента. Торсионное устройство должно обеспечивать вращательные движения между коленным модулем и стопой, улучшать управляемость протезом при ходьбе по неровной поверхности.</w:t>
            </w:r>
          </w:p>
          <w:p w:rsidR="001732AB" w:rsidRDefault="001732AB" w:rsidP="005A1F4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Регулировочно-соединительные устройства на нагрузку должны быть 125 кг. Косметическая оболочка должна быть полиуретановая. Крепление должно быть мышечно-вакуумное.</w:t>
            </w:r>
          </w:p>
          <w:p w:rsidR="001732AB" w:rsidRPr="00F945C9" w:rsidRDefault="001732AB" w:rsidP="005A1F4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Должно быть зарядное устройство с электропитанием от промышленной сети переменного тока.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2AB" w:rsidRPr="00F945C9" w:rsidRDefault="001732AB" w:rsidP="005A1F43">
            <w:pPr>
              <w:autoSpaceDE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1</w:t>
            </w:r>
          </w:p>
        </w:tc>
      </w:tr>
    </w:tbl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lastRenderedPageBreak/>
        <w:t xml:space="preserve">Качество изготавливаемого Изделия должно соответствовать государственным стандартам (ГОСТ), действующим на территории Российской Федерации, в том числе: </w:t>
      </w: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>-ГОСТ ISO 10993-5-2011 «Изделия медицинские. Оценка биологического действия медицинских изделий. Часть 5. Исследования на цитотоксичность: методы in vitro»;</w:t>
      </w: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>
        <w:rPr>
          <w:bCs/>
        </w:rPr>
        <w:t>-</w:t>
      </w:r>
      <w:r w:rsidRPr="00D230C5">
        <w:rPr>
          <w:bCs/>
        </w:rPr>
        <w:t xml:space="preserve">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</w: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>-ГОСТ Р 51632-2021 «Технические средства реабилитации людей с ограничениями жизнедеятельности»;</w:t>
      </w: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>-ГОСТ Р ИСО 22523-2007 «Протезы конечностей и ортезы наружные. Требования и методы</w:t>
      </w:r>
      <w:r>
        <w:rPr>
          <w:bCs/>
        </w:rPr>
        <w:t xml:space="preserve"> испытаний»;</w:t>
      </w:r>
    </w:p>
    <w:p w:rsidR="001732AB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>-ГОСТ Р 59542-2021 «Национальный стандарт Российской Федерации. Реабилитационные мероприятия. Услуги по обучению пользованию протезом нижней конечности»</w:t>
      </w:r>
      <w:r>
        <w:rPr>
          <w:bCs/>
        </w:rPr>
        <w:t>.</w:t>
      </w:r>
    </w:p>
    <w:p w:rsidR="001732AB" w:rsidRDefault="001732AB" w:rsidP="001732AB">
      <w:pPr>
        <w:widowControl w:val="0"/>
        <w:suppressAutoHyphens w:val="0"/>
        <w:jc w:val="both"/>
        <w:rPr>
          <w:bCs/>
        </w:rPr>
      </w:pP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 xml:space="preserve">Гарантийный срок для протезов голени модульных, в том числе при недоразвитии должен составлять </w:t>
      </w:r>
      <w:r>
        <w:rPr>
          <w:bCs/>
        </w:rPr>
        <w:t>24 (Двадцать четыре</w:t>
      </w:r>
      <w:r w:rsidRPr="00D230C5">
        <w:rPr>
          <w:bCs/>
        </w:rPr>
        <w:t>) месяц</w:t>
      </w:r>
      <w:r>
        <w:rPr>
          <w:bCs/>
        </w:rPr>
        <w:t>а</w:t>
      </w:r>
      <w:r w:rsidRPr="00D230C5">
        <w:rPr>
          <w:bCs/>
        </w:rPr>
        <w:t xml:space="preserve"> со дня подписания Акта сдачи-приемки работ Получателем.</w:t>
      </w:r>
    </w:p>
    <w:p w:rsidR="001732AB" w:rsidRPr="00D230C5" w:rsidRDefault="001732AB" w:rsidP="001732AB">
      <w:pPr>
        <w:widowControl w:val="0"/>
        <w:suppressAutoHyphens w:val="0"/>
        <w:jc w:val="both"/>
        <w:rPr>
          <w:bCs/>
        </w:rPr>
      </w:pPr>
      <w:r w:rsidRPr="00D230C5">
        <w:rPr>
          <w:bCs/>
        </w:rPr>
        <w:t xml:space="preserve">Гарантийный срок </w:t>
      </w:r>
      <w:r>
        <w:rPr>
          <w:bCs/>
        </w:rPr>
        <w:t>24 (Двадцать четыре</w:t>
      </w:r>
      <w:r w:rsidRPr="00D230C5">
        <w:rPr>
          <w:bCs/>
        </w:rPr>
        <w:t>) месяц</w:t>
      </w:r>
      <w:r>
        <w:rPr>
          <w:bCs/>
        </w:rPr>
        <w:t>а</w:t>
      </w:r>
      <w:r w:rsidRPr="00D230C5">
        <w:rPr>
          <w:bCs/>
        </w:rPr>
        <w:t xml:space="preserve"> со дня подписания Акта </w:t>
      </w:r>
      <w:r>
        <w:rPr>
          <w:bCs/>
        </w:rPr>
        <w:t>сдачи-приемки Работ Получателем.</w:t>
      </w:r>
    </w:p>
    <w:p w:rsidR="001732AB" w:rsidRPr="00F945C9" w:rsidRDefault="001732AB" w:rsidP="001732AB">
      <w:pPr>
        <w:widowControl w:val="0"/>
        <w:suppressAutoHyphens w:val="0"/>
        <w:jc w:val="both"/>
        <w:rPr>
          <w:bCs/>
        </w:rPr>
      </w:pPr>
      <w:r w:rsidRPr="001C0108">
        <w:rPr>
          <w:bCs/>
        </w:rPr>
        <w:t>Срок службы установлен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11EF" w:rsidRPr="001035CA" w:rsidRDefault="009A11EF" w:rsidP="009A11EF">
      <w:pPr>
        <w:autoSpaceDE w:val="0"/>
        <w:ind w:firstLine="709"/>
        <w:jc w:val="center"/>
        <w:rPr>
          <w:b/>
          <w:bCs/>
        </w:rPr>
      </w:pPr>
    </w:p>
    <w:sectPr w:rsidR="009A11EF" w:rsidRPr="0010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1732AB"/>
    <w:rsid w:val="001E3865"/>
    <w:rsid w:val="002962DF"/>
    <w:rsid w:val="003D1501"/>
    <w:rsid w:val="009A11EF"/>
    <w:rsid w:val="009C0A1A"/>
    <w:rsid w:val="00C174F9"/>
    <w:rsid w:val="00C86DF3"/>
    <w:rsid w:val="00EB1470"/>
    <w:rsid w:val="00F16A75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Амосов Александр Сергеевич</cp:lastModifiedBy>
  <cp:revision>2</cp:revision>
  <dcterms:created xsi:type="dcterms:W3CDTF">2023-11-23T13:23:00Z</dcterms:created>
  <dcterms:modified xsi:type="dcterms:W3CDTF">2023-11-23T13:23:00Z</dcterms:modified>
</cp:coreProperties>
</file>