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3A4EB7" w:rsidRDefault="00C131AD" w:rsidP="00FE33DE">
      <w:pPr>
        <w:widowControl w:val="0"/>
        <w:ind w:left="10206"/>
        <w:jc w:val="center"/>
        <w:rPr>
          <w:szCs w:val="24"/>
        </w:rPr>
      </w:pPr>
      <w:r w:rsidRPr="003A4EB7">
        <w:rPr>
          <w:szCs w:val="24"/>
        </w:rPr>
        <w:t>Приложение № 1</w:t>
      </w:r>
    </w:p>
    <w:p w14:paraId="06000000" w14:textId="1ADF3612" w:rsidR="0052416F" w:rsidRPr="003A4EB7" w:rsidRDefault="00C131AD" w:rsidP="00451019">
      <w:pPr>
        <w:widowControl w:val="0"/>
        <w:ind w:left="10206"/>
        <w:jc w:val="center"/>
        <w:rPr>
          <w:b/>
          <w:szCs w:val="24"/>
        </w:rPr>
      </w:pPr>
      <w:r w:rsidRPr="003A4EB7">
        <w:rPr>
          <w:szCs w:val="24"/>
        </w:rPr>
        <w:t>к извещени</w:t>
      </w:r>
      <w:r w:rsidR="008831B7" w:rsidRPr="003A4EB7">
        <w:rPr>
          <w:szCs w:val="24"/>
        </w:rPr>
        <w:t>ю</w:t>
      </w:r>
    </w:p>
    <w:p w14:paraId="07000000" w14:textId="14F39862" w:rsidR="0052416F" w:rsidRPr="003A4EB7" w:rsidRDefault="005F7457" w:rsidP="00F935B8">
      <w:pPr>
        <w:widowControl w:val="0"/>
        <w:jc w:val="center"/>
        <w:rPr>
          <w:b/>
          <w:szCs w:val="24"/>
        </w:rPr>
      </w:pPr>
      <w:r w:rsidRPr="003A4EB7">
        <w:rPr>
          <w:b/>
          <w:szCs w:val="24"/>
        </w:rPr>
        <w:t>Техническое задание</w:t>
      </w:r>
      <w:r w:rsidR="00BF7B4A" w:rsidRPr="003A4EB7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3A4EB7" w:rsidRDefault="005E5EAB" w:rsidP="00F935B8">
      <w:pPr>
        <w:widowControl w:val="0"/>
        <w:jc w:val="center"/>
        <w:rPr>
          <w:b/>
          <w:szCs w:val="24"/>
        </w:rPr>
      </w:pPr>
    </w:p>
    <w:p w14:paraId="046E0786" w14:textId="77777777" w:rsidR="00242FCC" w:rsidRPr="003A4EB7" w:rsidRDefault="00242FCC" w:rsidP="00242FCC">
      <w:pPr>
        <w:pBdr>
          <w:bottom w:val="single" w:sz="12" w:space="0" w:color="auto"/>
        </w:pBdr>
        <w:suppressAutoHyphens/>
        <w:jc w:val="center"/>
        <w:rPr>
          <w:b/>
          <w:szCs w:val="24"/>
        </w:rPr>
      </w:pPr>
      <w:r w:rsidRPr="003A4EB7">
        <w:rPr>
          <w:b/>
          <w:szCs w:val="24"/>
        </w:rPr>
        <w:t xml:space="preserve">Поставка </w:t>
      </w:r>
      <w:proofErr w:type="spellStart"/>
      <w:r w:rsidRPr="003A4EB7">
        <w:rPr>
          <w:b/>
          <w:szCs w:val="24"/>
        </w:rPr>
        <w:t>противопролежневых</w:t>
      </w:r>
      <w:proofErr w:type="spellEnd"/>
      <w:r w:rsidRPr="003A4EB7">
        <w:rPr>
          <w:b/>
          <w:szCs w:val="24"/>
        </w:rPr>
        <w:t xml:space="preserve"> матрацев </w:t>
      </w:r>
      <w:proofErr w:type="spellStart"/>
      <w:r w:rsidRPr="003A4EB7">
        <w:rPr>
          <w:b/>
          <w:szCs w:val="24"/>
        </w:rPr>
        <w:t>гелевых</w:t>
      </w:r>
      <w:proofErr w:type="spellEnd"/>
      <w:r w:rsidRPr="003A4EB7">
        <w:rPr>
          <w:b/>
          <w:szCs w:val="24"/>
        </w:rPr>
        <w:t xml:space="preserve"> </w:t>
      </w:r>
    </w:p>
    <w:p w14:paraId="0C235482" w14:textId="77777777" w:rsidR="00242FCC" w:rsidRPr="003A4EB7" w:rsidRDefault="00242FCC" w:rsidP="00242FCC">
      <w:pPr>
        <w:pBdr>
          <w:bottom w:val="single" w:sz="12" w:space="0" w:color="auto"/>
        </w:pBdr>
        <w:suppressAutoHyphens/>
        <w:jc w:val="center"/>
        <w:rPr>
          <w:b/>
          <w:szCs w:val="24"/>
        </w:rPr>
      </w:pPr>
    </w:p>
    <w:tbl>
      <w:tblPr>
        <w:tblStyle w:val="affff2"/>
        <w:tblpPr w:leftFromText="180" w:rightFromText="180" w:vertAnchor="text" w:tblpY="1"/>
        <w:tblOverlap w:val="never"/>
        <w:tblW w:w="5158" w:type="pct"/>
        <w:tblLook w:val="04A0" w:firstRow="1" w:lastRow="0" w:firstColumn="1" w:lastColumn="0" w:noHBand="0" w:noVBand="1"/>
      </w:tblPr>
      <w:tblGrid>
        <w:gridCol w:w="550"/>
        <w:gridCol w:w="2489"/>
        <w:gridCol w:w="2858"/>
        <w:gridCol w:w="5030"/>
        <w:gridCol w:w="775"/>
        <w:gridCol w:w="662"/>
        <w:gridCol w:w="1132"/>
        <w:gridCol w:w="1757"/>
      </w:tblGrid>
      <w:tr w:rsidR="00242FCC" w:rsidRPr="003A4EB7" w14:paraId="72EA0FC4" w14:textId="77777777" w:rsidTr="00E9783E">
        <w:tc>
          <w:tcPr>
            <w:tcW w:w="180" w:type="pct"/>
          </w:tcPr>
          <w:p w14:paraId="426DB4E0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№ п/п</w:t>
            </w:r>
          </w:p>
        </w:tc>
        <w:tc>
          <w:tcPr>
            <w:tcW w:w="816" w:type="pct"/>
          </w:tcPr>
          <w:p w14:paraId="05C0D151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Наименование товара, работ, услуг</w:t>
            </w:r>
          </w:p>
        </w:tc>
        <w:tc>
          <w:tcPr>
            <w:tcW w:w="937" w:type="pct"/>
          </w:tcPr>
          <w:p w14:paraId="512ABF08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3A4EB7">
              <w:rPr>
                <w:szCs w:val="24"/>
              </w:rPr>
              <w:t>абилитации</w:t>
            </w:r>
            <w:proofErr w:type="spellEnd"/>
            <w:r w:rsidRPr="003A4EB7">
              <w:rPr>
                <w:szCs w:val="24"/>
              </w:rPr>
              <w:t xml:space="preserve"> инвалида</w:t>
            </w:r>
          </w:p>
        </w:tc>
        <w:tc>
          <w:tcPr>
            <w:tcW w:w="1649" w:type="pct"/>
          </w:tcPr>
          <w:p w14:paraId="6FEF6EFE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Описание объекта закупки</w:t>
            </w:r>
          </w:p>
        </w:tc>
        <w:tc>
          <w:tcPr>
            <w:tcW w:w="254" w:type="pct"/>
          </w:tcPr>
          <w:p w14:paraId="4F82055A" w14:textId="77777777" w:rsidR="00242FCC" w:rsidRPr="003A4EB7" w:rsidRDefault="00242FCC" w:rsidP="00E9783E">
            <w:pPr>
              <w:keepLines/>
              <w:ind w:right="66"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Кол-во</w:t>
            </w:r>
          </w:p>
        </w:tc>
        <w:tc>
          <w:tcPr>
            <w:tcW w:w="217" w:type="pct"/>
          </w:tcPr>
          <w:p w14:paraId="4A1429EF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Ед. изм.</w:t>
            </w:r>
          </w:p>
        </w:tc>
        <w:tc>
          <w:tcPr>
            <w:tcW w:w="371" w:type="pct"/>
          </w:tcPr>
          <w:p w14:paraId="0299804F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Цена за ед. изм.</w:t>
            </w:r>
            <w:r w:rsidRPr="003A4EB7">
              <w:rPr>
                <w:rStyle w:val="affff6"/>
                <w:szCs w:val="24"/>
              </w:rPr>
              <w:footnoteReference w:id="1"/>
            </w:r>
            <w:r w:rsidRPr="003A4EB7">
              <w:rPr>
                <w:szCs w:val="24"/>
              </w:rPr>
              <w:t>, руб.</w:t>
            </w:r>
          </w:p>
        </w:tc>
        <w:tc>
          <w:tcPr>
            <w:tcW w:w="577" w:type="pct"/>
          </w:tcPr>
          <w:p w14:paraId="55DBF8F1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Цена по позиции</w:t>
            </w:r>
            <w:r w:rsidRPr="003A4EB7">
              <w:rPr>
                <w:rStyle w:val="affff6"/>
                <w:szCs w:val="24"/>
              </w:rPr>
              <w:footnoteReference w:id="2"/>
            </w:r>
            <w:r w:rsidRPr="003A4EB7">
              <w:rPr>
                <w:szCs w:val="24"/>
              </w:rPr>
              <w:t>, руб.</w:t>
            </w:r>
          </w:p>
        </w:tc>
      </w:tr>
      <w:tr w:rsidR="00242FCC" w:rsidRPr="003A4EB7" w14:paraId="238F94E4" w14:textId="77777777" w:rsidTr="00E9783E">
        <w:tc>
          <w:tcPr>
            <w:tcW w:w="180" w:type="pct"/>
          </w:tcPr>
          <w:p w14:paraId="186BB75C" w14:textId="77777777" w:rsidR="00242FCC" w:rsidRPr="003A4EB7" w:rsidRDefault="00242FCC" w:rsidP="00E9783E">
            <w:pPr>
              <w:keepLines/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1</w:t>
            </w:r>
          </w:p>
        </w:tc>
        <w:tc>
          <w:tcPr>
            <w:tcW w:w="816" w:type="pct"/>
          </w:tcPr>
          <w:p w14:paraId="77660049" w14:textId="77777777" w:rsidR="00242FCC" w:rsidRPr="003A4EB7" w:rsidRDefault="00242FCC" w:rsidP="00E9783E">
            <w:pPr>
              <w:pStyle w:val="afff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B7">
              <w:rPr>
                <w:rFonts w:ascii="Times New Roman" w:hAnsi="Times New Roman"/>
                <w:sz w:val="24"/>
                <w:szCs w:val="24"/>
              </w:rPr>
              <w:t xml:space="preserve">Матрас </w:t>
            </w:r>
            <w:proofErr w:type="spellStart"/>
            <w:r w:rsidRPr="003A4EB7">
              <w:rPr>
                <w:rFonts w:ascii="Times New Roman" w:hAnsi="Times New Roman"/>
                <w:sz w:val="24"/>
                <w:szCs w:val="24"/>
              </w:rPr>
              <w:t>противопролежневый</w:t>
            </w:r>
            <w:proofErr w:type="spellEnd"/>
            <w:r w:rsidRPr="003A4EB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A4EB7">
              <w:rPr>
                <w:rFonts w:ascii="Times New Roman" w:hAnsi="Times New Roman"/>
                <w:sz w:val="24"/>
                <w:szCs w:val="24"/>
              </w:rPr>
              <w:t>гелевым</w:t>
            </w:r>
            <w:proofErr w:type="spellEnd"/>
            <w:r w:rsidRPr="003A4EB7">
              <w:rPr>
                <w:rFonts w:ascii="Times New Roman" w:hAnsi="Times New Roman"/>
                <w:sz w:val="24"/>
                <w:szCs w:val="24"/>
              </w:rPr>
              <w:t xml:space="preserve"> наполнителем </w:t>
            </w:r>
          </w:p>
        </w:tc>
        <w:tc>
          <w:tcPr>
            <w:tcW w:w="937" w:type="pct"/>
          </w:tcPr>
          <w:p w14:paraId="1F25F5BF" w14:textId="77777777" w:rsidR="00242FCC" w:rsidRPr="003A4EB7" w:rsidRDefault="00242FCC" w:rsidP="00E9783E">
            <w:pPr>
              <w:ind w:left="-53"/>
              <w:jc w:val="both"/>
              <w:rPr>
                <w:szCs w:val="24"/>
              </w:rPr>
            </w:pPr>
            <w:proofErr w:type="spellStart"/>
            <w:r w:rsidRPr="003A4EB7">
              <w:rPr>
                <w:szCs w:val="24"/>
              </w:rPr>
              <w:t>Противопролежневый</w:t>
            </w:r>
            <w:proofErr w:type="spellEnd"/>
            <w:r w:rsidRPr="003A4EB7">
              <w:rPr>
                <w:szCs w:val="24"/>
              </w:rPr>
              <w:t xml:space="preserve"> матрац </w:t>
            </w:r>
            <w:proofErr w:type="spellStart"/>
            <w:r w:rsidRPr="003A4EB7">
              <w:rPr>
                <w:szCs w:val="24"/>
              </w:rPr>
              <w:t>гелевый</w:t>
            </w:r>
            <w:proofErr w:type="spellEnd"/>
          </w:p>
        </w:tc>
        <w:tc>
          <w:tcPr>
            <w:tcW w:w="1649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4"/>
              <w:gridCol w:w="2210"/>
            </w:tblGrid>
            <w:tr w:rsidR="00242FCC" w:rsidRPr="003A4EB7" w14:paraId="63FC4894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0E51525E" w14:textId="77777777" w:rsidR="00242FCC" w:rsidRPr="003A4EB7" w:rsidRDefault="00242FCC" w:rsidP="00E9783E">
                  <w:pPr>
                    <w:framePr w:hSpace="180" w:wrap="around" w:vAnchor="text" w:hAnchor="text" w:y="1"/>
                    <w:ind w:left="-53"/>
                    <w:suppressOverlap/>
                    <w:jc w:val="both"/>
                    <w:rPr>
                      <w:b/>
                      <w:szCs w:val="24"/>
                    </w:rPr>
                  </w:pPr>
                  <w:r w:rsidRPr="003A4EB7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3725" w:type="pct"/>
                </w:tcPr>
                <w:p w14:paraId="60D1998B" w14:textId="77777777" w:rsidR="00242FCC" w:rsidRPr="003A4EB7" w:rsidRDefault="00242FCC" w:rsidP="00E9783E">
                  <w:pPr>
                    <w:framePr w:hSpace="180" w:wrap="around" w:vAnchor="text" w:hAnchor="text" w:y="1"/>
                    <w:ind w:left="-53"/>
                    <w:suppressOverlap/>
                    <w:jc w:val="both"/>
                    <w:rPr>
                      <w:b/>
                      <w:szCs w:val="24"/>
                    </w:rPr>
                  </w:pPr>
                  <w:r w:rsidRPr="003A4EB7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242FCC" w:rsidRPr="003A4EB7" w14:paraId="4D75AA79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607942DC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proofErr w:type="spellStart"/>
                  <w:r w:rsidRPr="003A4EB7">
                    <w:rPr>
                      <w:szCs w:val="24"/>
                    </w:rPr>
                    <w:t>Противопролежневый</w:t>
                  </w:r>
                  <w:proofErr w:type="spellEnd"/>
                  <w:r w:rsidRPr="003A4EB7">
                    <w:rPr>
                      <w:szCs w:val="24"/>
                    </w:rPr>
                    <w:t xml:space="preserve"> матрац предназначен для профилактики пролежней у больных, длительно находящихся на постельном режиме и подверженных риску развития трофических нарушений в местах соприкосновения кожи с постельным бельем</w:t>
                  </w:r>
                </w:p>
              </w:tc>
              <w:tc>
                <w:tcPr>
                  <w:tcW w:w="3725" w:type="pct"/>
                </w:tcPr>
                <w:p w14:paraId="2706DDBF" w14:textId="77777777" w:rsidR="00242FCC" w:rsidRPr="003A4EB7" w:rsidRDefault="00242FCC" w:rsidP="00E9783E">
                  <w:pPr>
                    <w:framePr w:hSpace="180" w:wrap="around" w:vAnchor="text" w:hAnchor="text" w:y="1"/>
                    <w:ind w:left="-53" w:firstLine="178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Да</w:t>
                  </w:r>
                </w:p>
              </w:tc>
            </w:tr>
            <w:tr w:rsidR="00242FCC" w:rsidRPr="003A4EB7" w14:paraId="11860676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3619C5BD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Наполнитель матраца</w:t>
                  </w:r>
                </w:p>
              </w:tc>
              <w:tc>
                <w:tcPr>
                  <w:tcW w:w="3725" w:type="pct"/>
                </w:tcPr>
                <w:p w14:paraId="15C3BF13" w14:textId="77777777" w:rsidR="00242FCC" w:rsidRPr="003A4EB7" w:rsidRDefault="00242FCC" w:rsidP="00E9783E">
                  <w:pPr>
                    <w:framePr w:hSpace="180" w:wrap="around" w:vAnchor="text" w:hAnchor="text" w:y="1"/>
                    <w:ind w:left="-53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Гель, распределенный в ячейки. В разных сегментах степень наполнения различна, что обеспечивает эффективное перераспределения давления</w:t>
                  </w:r>
                </w:p>
              </w:tc>
            </w:tr>
            <w:tr w:rsidR="00242FCC" w:rsidRPr="003A4EB7" w14:paraId="21922EF3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5DB28614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Максимальная допустимая нагрузка на изделие</w:t>
                  </w:r>
                </w:p>
              </w:tc>
              <w:tc>
                <w:tcPr>
                  <w:tcW w:w="3725" w:type="pct"/>
                </w:tcPr>
                <w:p w14:paraId="24CE835C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не менее 120 кг.</w:t>
                  </w:r>
                </w:p>
              </w:tc>
            </w:tr>
            <w:tr w:rsidR="00242FCC" w:rsidRPr="003A4EB7" w14:paraId="72C2684A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001FE18B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Длина</w:t>
                  </w:r>
                </w:p>
              </w:tc>
              <w:tc>
                <w:tcPr>
                  <w:tcW w:w="3725" w:type="pct"/>
                </w:tcPr>
                <w:p w14:paraId="621C4CFD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не менее 1800 мм.</w:t>
                  </w:r>
                </w:p>
              </w:tc>
            </w:tr>
            <w:tr w:rsidR="00242FCC" w:rsidRPr="003A4EB7" w14:paraId="06D23C7A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2727DA11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Ширина</w:t>
                  </w:r>
                </w:p>
              </w:tc>
              <w:tc>
                <w:tcPr>
                  <w:tcW w:w="3725" w:type="pct"/>
                </w:tcPr>
                <w:p w14:paraId="3EE58954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не менее 840 мм.</w:t>
                  </w:r>
                </w:p>
              </w:tc>
            </w:tr>
            <w:tr w:rsidR="00242FCC" w:rsidRPr="003A4EB7" w14:paraId="294A21A4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4A66C972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Высота</w:t>
                  </w:r>
                </w:p>
              </w:tc>
              <w:tc>
                <w:tcPr>
                  <w:tcW w:w="3725" w:type="pct"/>
                </w:tcPr>
                <w:p w14:paraId="644AEBEF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не менее 40 мм.</w:t>
                  </w:r>
                </w:p>
              </w:tc>
            </w:tr>
            <w:tr w:rsidR="00242FCC" w:rsidRPr="003A4EB7" w14:paraId="0AAE7CCF" w14:textId="77777777" w:rsidTr="00E9783E">
              <w:trPr>
                <w:trHeight w:val="415"/>
              </w:trPr>
              <w:tc>
                <w:tcPr>
                  <w:tcW w:w="1275" w:type="pct"/>
                </w:tcPr>
                <w:p w14:paraId="1BF9670C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 xml:space="preserve">Соответствие ГОСТ ISO 10993-1-2021 «Межгосударственный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риска», ГОСТ ISO 10993-5-2011 «Межгосударственный стандарт. Изделия медицинские. Оценка биологического действия медицинских изделий. Часть 5. Исследования на </w:t>
                  </w:r>
                  <w:proofErr w:type="spellStart"/>
                  <w:r w:rsidRPr="003A4EB7">
                    <w:rPr>
                      <w:szCs w:val="24"/>
                    </w:rPr>
                    <w:t>цитотоксичность</w:t>
                  </w:r>
                  <w:proofErr w:type="spellEnd"/>
                  <w:r w:rsidRPr="003A4EB7">
                    <w:rPr>
                      <w:szCs w:val="24"/>
                    </w:rPr>
                    <w:t xml:space="preserve">: методы </w:t>
                  </w:r>
                  <w:proofErr w:type="spellStart"/>
                  <w:r w:rsidRPr="003A4EB7">
                    <w:rPr>
                      <w:szCs w:val="24"/>
                    </w:rPr>
                    <w:t>in</w:t>
                  </w:r>
                  <w:proofErr w:type="spellEnd"/>
                  <w:r w:rsidRPr="003A4EB7">
                    <w:rPr>
                      <w:szCs w:val="24"/>
                    </w:rPr>
                    <w:t xml:space="preserve"> </w:t>
                  </w:r>
                  <w:proofErr w:type="spellStart"/>
                  <w:r w:rsidRPr="003A4EB7">
                    <w:rPr>
                      <w:szCs w:val="24"/>
                    </w:rPr>
                    <w:t>vitro</w:t>
                  </w:r>
                  <w:proofErr w:type="spellEnd"/>
                  <w:r w:rsidRPr="003A4EB7">
                    <w:rPr>
                      <w:szCs w:val="24"/>
                    </w:rPr>
                    <w:t>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действия», ГОСТ Р 52770-2016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испытаний»,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испытаний».</w:t>
                  </w:r>
                </w:p>
              </w:tc>
              <w:tc>
                <w:tcPr>
                  <w:tcW w:w="3725" w:type="pct"/>
                </w:tcPr>
                <w:p w14:paraId="49F3025D" w14:textId="77777777" w:rsidR="00242FCC" w:rsidRPr="003A4EB7" w:rsidRDefault="00242FCC" w:rsidP="00E9783E">
                  <w:pPr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3A4EB7">
                    <w:rPr>
                      <w:szCs w:val="24"/>
                    </w:rPr>
                    <w:t>Да</w:t>
                  </w:r>
                </w:p>
              </w:tc>
            </w:tr>
          </w:tbl>
          <w:p w14:paraId="62F6CE90" w14:textId="77777777" w:rsidR="00242FCC" w:rsidRPr="003A4EB7" w:rsidRDefault="00242FCC" w:rsidP="00E9783E">
            <w:pPr>
              <w:jc w:val="both"/>
              <w:rPr>
                <w:szCs w:val="24"/>
              </w:rPr>
            </w:pPr>
          </w:p>
        </w:tc>
        <w:tc>
          <w:tcPr>
            <w:tcW w:w="254" w:type="pct"/>
          </w:tcPr>
          <w:p w14:paraId="315F6173" w14:textId="77777777" w:rsidR="00242FCC" w:rsidRPr="003A4EB7" w:rsidRDefault="00242FCC" w:rsidP="00E9783E">
            <w:pPr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200</w:t>
            </w:r>
          </w:p>
        </w:tc>
        <w:tc>
          <w:tcPr>
            <w:tcW w:w="217" w:type="pct"/>
          </w:tcPr>
          <w:p w14:paraId="332A4B46" w14:textId="77777777" w:rsidR="00242FCC" w:rsidRPr="003A4EB7" w:rsidRDefault="00242FCC" w:rsidP="00E9783E">
            <w:pPr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Шт.</w:t>
            </w:r>
          </w:p>
        </w:tc>
        <w:tc>
          <w:tcPr>
            <w:tcW w:w="371" w:type="pct"/>
          </w:tcPr>
          <w:p w14:paraId="789695BE" w14:textId="77777777" w:rsidR="00242FCC" w:rsidRPr="003A4EB7" w:rsidRDefault="00242FCC" w:rsidP="00E9783E">
            <w:pPr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124</w:t>
            </w:r>
            <w:bookmarkStart w:id="0" w:name="_GoBack"/>
            <w:bookmarkEnd w:id="0"/>
            <w:r w:rsidRPr="003A4EB7">
              <w:rPr>
                <w:szCs w:val="24"/>
              </w:rPr>
              <w:t>33,33</w:t>
            </w:r>
          </w:p>
        </w:tc>
        <w:tc>
          <w:tcPr>
            <w:tcW w:w="577" w:type="pct"/>
          </w:tcPr>
          <w:p w14:paraId="43FB87A5" w14:textId="77777777" w:rsidR="00242FCC" w:rsidRPr="003A4EB7" w:rsidRDefault="00242FCC" w:rsidP="00E9783E">
            <w:pPr>
              <w:jc w:val="center"/>
              <w:rPr>
                <w:szCs w:val="24"/>
              </w:rPr>
            </w:pPr>
            <w:r w:rsidRPr="003A4EB7">
              <w:rPr>
                <w:szCs w:val="24"/>
              </w:rPr>
              <w:t>2 486 666,00</w:t>
            </w:r>
          </w:p>
        </w:tc>
      </w:tr>
      <w:tr w:rsidR="00242FCC" w:rsidRPr="003A4EB7" w14:paraId="3D10F564" w14:textId="77777777" w:rsidTr="00E9783E">
        <w:trPr>
          <w:trHeight w:val="364"/>
        </w:trPr>
        <w:tc>
          <w:tcPr>
            <w:tcW w:w="3581" w:type="pct"/>
            <w:gridSpan w:val="4"/>
            <w:tcBorders>
              <w:right w:val="single" w:sz="4" w:space="0" w:color="auto"/>
            </w:tcBorders>
          </w:tcPr>
          <w:p w14:paraId="564FC166" w14:textId="77777777" w:rsidR="00242FCC" w:rsidRPr="003A4EB7" w:rsidRDefault="00242FCC" w:rsidP="00E9783E">
            <w:pPr>
              <w:keepLines/>
              <w:tabs>
                <w:tab w:val="left" w:pos="5505"/>
              </w:tabs>
              <w:jc w:val="both"/>
              <w:rPr>
                <w:b/>
                <w:szCs w:val="24"/>
              </w:rPr>
            </w:pPr>
            <w:r w:rsidRPr="003A4EB7">
              <w:rPr>
                <w:b/>
                <w:szCs w:val="24"/>
              </w:rPr>
              <w:t>ИТОГО:</w:t>
            </w:r>
          </w:p>
        </w:tc>
        <w:tc>
          <w:tcPr>
            <w:tcW w:w="254" w:type="pct"/>
          </w:tcPr>
          <w:p w14:paraId="4CBB4656" w14:textId="77777777" w:rsidR="00242FCC" w:rsidRPr="003A4EB7" w:rsidRDefault="00242FCC" w:rsidP="00E9783E">
            <w:pPr>
              <w:jc w:val="center"/>
              <w:rPr>
                <w:b/>
                <w:szCs w:val="24"/>
              </w:rPr>
            </w:pPr>
            <w:r w:rsidRPr="003A4EB7">
              <w:rPr>
                <w:b/>
                <w:szCs w:val="24"/>
              </w:rPr>
              <w:t>200</w:t>
            </w:r>
          </w:p>
        </w:tc>
        <w:tc>
          <w:tcPr>
            <w:tcW w:w="217" w:type="pct"/>
          </w:tcPr>
          <w:p w14:paraId="47863ABE" w14:textId="77777777" w:rsidR="00242FCC" w:rsidRPr="003A4EB7" w:rsidRDefault="00242FCC" w:rsidP="00E9783E">
            <w:pPr>
              <w:jc w:val="center"/>
              <w:rPr>
                <w:b/>
                <w:szCs w:val="24"/>
              </w:rPr>
            </w:pPr>
          </w:p>
        </w:tc>
        <w:tc>
          <w:tcPr>
            <w:tcW w:w="371" w:type="pct"/>
          </w:tcPr>
          <w:p w14:paraId="03885B47" w14:textId="77777777" w:rsidR="00242FCC" w:rsidRPr="003A4EB7" w:rsidRDefault="00242FCC" w:rsidP="00E9783E">
            <w:pPr>
              <w:jc w:val="center"/>
              <w:rPr>
                <w:b/>
                <w:szCs w:val="24"/>
              </w:rPr>
            </w:pPr>
          </w:p>
        </w:tc>
        <w:tc>
          <w:tcPr>
            <w:tcW w:w="577" w:type="pct"/>
          </w:tcPr>
          <w:p w14:paraId="21225483" w14:textId="77777777" w:rsidR="00242FCC" w:rsidRPr="003A4EB7" w:rsidRDefault="00242FCC" w:rsidP="00E9783E">
            <w:pPr>
              <w:jc w:val="center"/>
              <w:rPr>
                <w:b/>
                <w:szCs w:val="24"/>
              </w:rPr>
            </w:pPr>
            <w:r w:rsidRPr="003A4EB7">
              <w:rPr>
                <w:b/>
                <w:szCs w:val="24"/>
              </w:rPr>
              <w:t>2 486 666,00</w:t>
            </w:r>
          </w:p>
        </w:tc>
      </w:tr>
    </w:tbl>
    <w:p w14:paraId="4EA2C1F6" w14:textId="77777777" w:rsidR="00242FCC" w:rsidRPr="003A4EB7" w:rsidRDefault="00242FCC" w:rsidP="00242FCC">
      <w:pPr>
        <w:ind w:firstLine="567"/>
        <w:jc w:val="both"/>
        <w:rPr>
          <w:szCs w:val="24"/>
          <w:lang w:eastAsia="en-US"/>
        </w:rPr>
      </w:pPr>
    </w:p>
    <w:p w14:paraId="54F7E2E4" w14:textId="77777777" w:rsidR="00242FCC" w:rsidRPr="003A4EB7" w:rsidRDefault="00242FCC" w:rsidP="00242FCC">
      <w:pPr>
        <w:ind w:firstLine="567"/>
        <w:jc w:val="both"/>
        <w:rPr>
          <w:szCs w:val="24"/>
          <w:lang w:eastAsia="en-US"/>
        </w:rPr>
      </w:pPr>
      <w:r w:rsidRPr="003A4EB7">
        <w:rPr>
          <w:szCs w:val="24"/>
          <w:lang w:eastAsia="en-US"/>
        </w:rPr>
        <w:t xml:space="preserve">В соответствии с приказом Минтруда России от </w:t>
      </w:r>
      <w:r w:rsidRPr="003A4EB7">
        <w:rPr>
          <w:szCs w:val="24"/>
        </w:rPr>
        <w:t>05.03.2021 № 107н</w:t>
      </w:r>
      <w:r w:rsidRPr="003A4EB7">
        <w:rPr>
          <w:szCs w:val="24"/>
          <w:lang w:eastAsia="en-US"/>
        </w:rPr>
        <w:t xml:space="preserve"> «Об утверждении сроков пользования техническими средствами реабилитации, протезами и протезно-ортопедическим изделиями до их замены» срок пользования техническими средствами реабилитации, протезом и протезно-ортопедическим изделием (далее –ТСР и ПОИ) исчисляется с даты предоставления его инвалиду. </w:t>
      </w:r>
    </w:p>
    <w:p w14:paraId="44C82D94" w14:textId="77777777" w:rsidR="00242FCC" w:rsidRPr="003A4EB7" w:rsidRDefault="00242FCC" w:rsidP="00242FCC">
      <w:pPr>
        <w:ind w:firstLine="567"/>
        <w:jc w:val="center"/>
        <w:rPr>
          <w:b/>
          <w:szCs w:val="24"/>
        </w:rPr>
      </w:pPr>
    </w:p>
    <w:p w14:paraId="4E895E0E" w14:textId="77777777" w:rsidR="00242FCC" w:rsidRPr="003A4EB7" w:rsidRDefault="00242FCC" w:rsidP="00242FCC">
      <w:pPr>
        <w:ind w:firstLine="567"/>
        <w:jc w:val="center"/>
        <w:rPr>
          <w:b/>
          <w:szCs w:val="24"/>
        </w:rPr>
      </w:pPr>
      <w:r w:rsidRPr="003A4EB7">
        <w:rPr>
          <w:b/>
          <w:szCs w:val="24"/>
        </w:rPr>
        <w:t xml:space="preserve">Требования к качеству и </w:t>
      </w:r>
      <w:r w:rsidRPr="003A4EB7">
        <w:rPr>
          <w:b/>
          <w:bCs/>
          <w:szCs w:val="24"/>
        </w:rPr>
        <w:t>безопасности товара</w:t>
      </w:r>
      <w:r w:rsidRPr="003A4EB7">
        <w:rPr>
          <w:b/>
          <w:szCs w:val="24"/>
        </w:rPr>
        <w:t>.</w:t>
      </w:r>
    </w:p>
    <w:p w14:paraId="06EA3062" w14:textId="77777777" w:rsidR="00242FCC" w:rsidRPr="003A4EB7" w:rsidRDefault="00242FCC" w:rsidP="00242FCC">
      <w:pPr>
        <w:ind w:firstLine="567"/>
        <w:jc w:val="both"/>
        <w:rPr>
          <w:szCs w:val="24"/>
        </w:rPr>
      </w:pPr>
      <w:r w:rsidRPr="003A4EB7">
        <w:rPr>
          <w:szCs w:val="24"/>
        </w:rPr>
        <w:t>При использовании изделий по назначению не должно быть создано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14:paraId="614EC54A" w14:textId="77777777" w:rsidR="00242FCC" w:rsidRPr="003A4EB7" w:rsidRDefault="00242FCC" w:rsidP="00242FCC">
      <w:pPr>
        <w:ind w:firstLine="567"/>
        <w:jc w:val="both"/>
        <w:rPr>
          <w:szCs w:val="24"/>
        </w:rPr>
      </w:pPr>
      <w:r w:rsidRPr="003A4EB7">
        <w:rPr>
          <w:szCs w:val="24"/>
        </w:rPr>
        <w:t xml:space="preserve">При поставке Товара должны быть представлены: действующие регистрационные удостоверения, выданные Росздравнадзором, в соответствии со ст. 38 Федерального закона от 21.11.2011 № 323-ФЗ и в соответствии с постановлением Правительства от 27.12.2012 № 1416, а также инструкция по применению изделия на русском языке. </w:t>
      </w:r>
    </w:p>
    <w:p w14:paraId="25F38FBC" w14:textId="77777777" w:rsidR="00242FCC" w:rsidRPr="003A4EB7" w:rsidRDefault="00242FCC" w:rsidP="00242FCC">
      <w:pPr>
        <w:autoSpaceDE w:val="0"/>
        <w:ind w:firstLine="567"/>
        <w:jc w:val="center"/>
        <w:rPr>
          <w:szCs w:val="24"/>
        </w:rPr>
      </w:pPr>
      <w:r w:rsidRPr="003A4EB7">
        <w:rPr>
          <w:b/>
          <w:bCs/>
          <w:szCs w:val="24"/>
        </w:rPr>
        <w:t>Требования к размерам, упаковке, отгрузке товара.</w:t>
      </w:r>
      <w:r w:rsidRPr="003A4EB7">
        <w:rPr>
          <w:szCs w:val="24"/>
        </w:rPr>
        <w:t xml:space="preserve"> </w:t>
      </w:r>
    </w:p>
    <w:p w14:paraId="0BDDEFB3" w14:textId="77777777" w:rsidR="00242FCC" w:rsidRPr="003A4EB7" w:rsidRDefault="00242FCC" w:rsidP="00242FCC">
      <w:pPr>
        <w:widowControl w:val="0"/>
        <w:shd w:val="clear" w:color="auto" w:fill="FFFFFF"/>
        <w:tabs>
          <w:tab w:val="left" w:pos="0"/>
        </w:tabs>
        <w:autoSpaceDE w:val="0"/>
        <w:ind w:firstLine="567"/>
        <w:jc w:val="both"/>
        <w:rPr>
          <w:szCs w:val="24"/>
        </w:rPr>
      </w:pPr>
      <w:r w:rsidRPr="003A4EB7">
        <w:rPr>
          <w:szCs w:val="24"/>
        </w:rPr>
        <w:t>Маркировка, упаковка, хранение и транспортировка изделий к месту выдачи инвалидам (ветеранам) должна осуществляться с соблюдением требований ГОСТ Р 51632-2021. 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испытаний".</w:t>
      </w:r>
    </w:p>
    <w:p w14:paraId="5C4155AE" w14:textId="77777777" w:rsidR="00242FCC" w:rsidRPr="003A4EB7" w:rsidRDefault="00242FCC" w:rsidP="00242FCC">
      <w:pPr>
        <w:ind w:firstLine="567"/>
        <w:jc w:val="both"/>
        <w:rPr>
          <w:szCs w:val="24"/>
        </w:rPr>
      </w:pPr>
      <w:r w:rsidRPr="003A4EB7">
        <w:rPr>
          <w:szCs w:val="24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5180E221" w14:textId="77777777" w:rsidR="00242FCC" w:rsidRPr="003A4EB7" w:rsidRDefault="00242FCC" w:rsidP="00242FCC">
      <w:pPr>
        <w:ind w:right="142" w:firstLine="567"/>
        <w:jc w:val="both"/>
        <w:rPr>
          <w:b/>
          <w:bCs/>
          <w:szCs w:val="24"/>
        </w:rPr>
      </w:pPr>
      <w:r w:rsidRPr="003A4EB7">
        <w:rPr>
          <w:szCs w:val="24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586FF7BC" w14:textId="77777777" w:rsidR="00242FCC" w:rsidRPr="003A4EB7" w:rsidRDefault="00242FCC" w:rsidP="00242FCC">
      <w:pPr>
        <w:autoSpaceDE w:val="0"/>
        <w:ind w:firstLine="567"/>
        <w:jc w:val="center"/>
        <w:rPr>
          <w:b/>
          <w:bCs/>
          <w:szCs w:val="24"/>
        </w:rPr>
      </w:pPr>
    </w:p>
    <w:p w14:paraId="5A7FC8C7" w14:textId="77777777" w:rsidR="00242FCC" w:rsidRPr="003A4EB7" w:rsidRDefault="00242FCC" w:rsidP="00242FCC">
      <w:pPr>
        <w:autoSpaceDE w:val="0"/>
        <w:ind w:firstLine="567"/>
        <w:jc w:val="center"/>
        <w:rPr>
          <w:b/>
          <w:bCs/>
          <w:szCs w:val="24"/>
        </w:rPr>
      </w:pPr>
      <w:r w:rsidRPr="003A4EB7">
        <w:rPr>
          <w:b/>
          <w:bCs/>
          <w:szCs w:val="24"/>
        </w:rPr>
        <w:t>Требования к сроку и (или) объему предоставленных гарантий качества товара.</w:t>
      </w:r>
    </w:p>
    <w:p w14:paraId="73466031" w14:textId="77777777" w:rsidR="00242FCC" w:rsidRPr="003A4EB7" w:rsidRDefault="00242FCC" w:rsidP="00242FCC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3A4EB7">
        <w:rPr>
          <w:szCs w:val="24"/>
        </w:rPr>
        <w:t>Гарантийный срок Товара должен составлять не менее 24 (двадцати четырех)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14:paraId="6DE53933" w14:textId="77777777" w:rsidR="00242FCC" w:rsidRPr="003A4EB7" w:rsidRDefault="00242FCC" w:rsidP="00242FCC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3A4EB7">
        <w:rPr>
          <w:szCs w:val="24"/>
        </w:rPr>
        <w:t xml:space="preserve">Обязательно наличие гарантийных талонов, дающих право на бесплатный ремонт Товара во время гарантийного срока. </w:t>
      </w:r>
    </w:p>
    <w:p w14:paraId="0DD04E0B" w14:textId="77777777" w:rsidR="00242FCC" w:rsidRPr="003A4EB7" w:rsidRDefault="00242FCC" w:rsidP="00242FCC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3A4EB7">
        <w:rPr>
          <w:bCs/>
          <w:szCs w:val="24"/>
        </w:rPr>
        <w:t>Срок выполнения гарантийного ремонта со дня обращения Получателя не должен превышать 20 рабочих дней.</w:t>
      </w:r>
      <w:r w:rsidRPr="003A4EB7">
        <w:rPr>
          <w:szCs w:val="24"/>
        </w:rPr>
        <w:t xml:space="preserve"> </w:t>
      </w:r>
    </w:p>
    <w:p w14:paraId="0B4EC0DC" w14:textId="77777777" w:rsidR="00242FCC" w:rsidRPr="003A4EB7" w:rsidRDefault="00242FCC" w:rsidP="00242FCC">
      <w:pPr>
        <w:tabs>
          <w:tab w:val="left" w:pos="-420"/>
        </w:tabs>
        <w:autoSpaceDE w:val="0"/>
        <w:ind w:firstLine="567"/>
        <w:jc w:val="both"/>
        <w:rPr>
          <w:szCs w:val="24"/>
        </w:rPr>
      </w:pPr>
      <w:r w:rsidRPr="003A4EB7">
        <w:rPr>
          <w:szCs w:val="24"/>
        </w:rPr>
        <w:t xml:space="preserve">До 15.01.2024 поставщик должен предоставить Заказчику адреса специализированных мастерских, в которые следует обращаться для гарантийного ремонта Товара или устранения неисправностей. Обеспечение возможности ремонта, устранения недостатков при обеспечении Получателей Товаром </w:t>
      </w:r>
      <w:r w:rsidRPr="003A4EB7">
        <w:rPr>
          <w:spacing w:val="-4"/>
          <w:szCs w:val="24"/>
        </w:rPr>
        <w:t>осуществляется в соответствии с Федеральным законом от 07.02.1992 № 2300-1 «О защите прав потребителей».</w:t>
      </w:r>
    </w:p>
    <w:p w14:paraId="674968A0" w14:textId="77777777" w:rsidR="00242FCC" w:rsidRPr="003A4EB7" w:rsidRDefault="00242FCC" w:rsidP="00242FCC">
      <w:pPr>
        <w:ind w:right="150" w:firstLine="567"/>
        <w:jc w:val="center"/>
        <w:rPr>
          <w:b/>
          <w:szCs w:val="24"/>
        </w:rPr>
      </w:pPr>
    </w:p>
    <w:p w14:paraId="063F9E84" w14:textId="77777777" w:rsidR="00242FCC" w:rsidRPr="003A4EB7" w:rsidRDefault="00242FCC" w:rsidP="00242FCC">
      <w:pPr>
        <w:ind w:right="150" w:firstLine="567"/>
        <w:jc w:val="center"/>
        <w:rPr>
          <w:b/>
          <w:szCs w:val="24"/>
        </w:rPr>
      </w:pPr>
      <w:r w:rsidRPr="003A4EB7">
        <w:rPr>
          <w:b/>
          <w:szCs w:val="24"/>
        </w:rPr>
        <w:t>Требования к месту, условиям и срокам (периодам) поставки Товара.</w:t>
      </w:r>
    </w:p>
    <w:p w14:paraId="51B0E001" w14:textId="77777777" w:rsidR="00242FCC" w:rsidRPr="003A4EB7" w:rsidRDefault="00242FCC" w:rsidP="00242FCC">
      <w:pPr>
        <w:ind w:firstLine="567"/>
        <w:jc w:val="both"/>
        <w:rPr>
          <w:b/>
          <w:bCs/>
          <w:szCs w:val="24"/>
        </w:rPr>
      </w:pPr>
      <w:r w:rsidRPr="003A4EB7">
        <w:rPr>
          <w:b/>
          <w:bCs/>
          <w:szCs w:val="24"/>
        </w:rPr>
        <w:t>Место поставки товара:</w:t>
      </w:r>
    </w:p>
    <w:p w14:paraId="098E6D18" w14:textId="77777777" w:rsidR="00242FCC" w:rsidRPr="003A4EB7" w:rsidRDefault="00242FCC" w:rsidP="00242FCC">
      <w:pPr>
        <w:ind w:firstLine="567"/>
        <w:jc w:val="both"/>
        <w:rPr>
          <w:bCs/>
          <w:szCs w:val="24"/>
        </w:rPr>
      </w:pPr>
      <w:r w:rsidRPr="003A4EB7">
        <w:rPr>
          <w:bCs/>
          <w:szCs w:val="24"/>
        </w:rPr>
        <w:t>Краснодарский край:</w:t>
      </w:r>
    </w:p>
    <w:p w14:paraId="37FBE652" w14:textId="77777777" w:rsidR="00242FCC" w:rsidRPr="003A4EB7" w:rsidRDefault="00242FCC" w:rsidP="00242FCC">
      <w:pPr>
        <w:ind w:firstLine="567"/>
        <w:jc w:val="both"/>
        <w:rPr>
          <w:bCs/>
          <w:szCs w:val="24"/>
        </w:rPr>
      </w:pPr>
      <w:r w:rsidRPr="003A4EB7">
        <w:rPr>
          <w:bCs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55BF9EE5" w14:textId="77777777" w:rsidR="00242FCC" w:rsidRPr="003A4EB7" w:rsidRDefault="00242FCC" w:rsidP="00242FCC">
      <w:pPr>
        <w:ind w:firstLine="567"/>
        <w:jc w:val="both"/>
        <w:rPr>
          <w:bCs/>
          <w:szCs w:val="24"/>
        </w:rPr>
      </w:pPr>
      <w:r w:rsidRPr="003A4EB7">
        <w:rPr>
          <w:bCs/>
          <w:szCs w:val="24"/>
        </w:rPr>
        <w:t>- в стационарных пунктах выдачи, организованных в соответствии с приказом Министерства труда и социальной защиты РФ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</w:p>
    <w:p w14:paraId="333F9F7E" w14:textId="77777777" w:rsidR="00242FCC" w:rsidRPr="003A4EB7" w:rsidRDefault="00242FCC" w:rsidP="00242FCC">
      <w:pPr>
        <w:ind w:firstLine="567"/>
        <w:jc w:val="both"/>
        <w:rPr>
          <w:b/>
          <w:bCs/>
          <w:szCs w:val="24"/>
        </w:rPr>
      </w:pPr>
    </w:p>
    <w:p w14:paraId="2AD6789F" w14:textId="77777777" w:rsidR="00242FCC" w:rsidRPr="003A4EB7" w:rsidRDefault="00242FCC" w:rsidP="00242FCC">
      <w:pPr>
        <w:ind w:firstLine="567"/>
        <w:jc w:val="both"/>
        <w:rPr>
          <w:bCs/>
          <w:szCs w:val="24"/>
        </w:rPr>
      </w:pPr>
      <w:r w:rsidRPr="003A4EB7">
        <w:rPr>
          <w:b/>
          <w:bCs/>
          <w:szCs w:val="24"/>
        </w:rPr>
        <w:t>Сроки (периоды) поставки товара</w:t>
      </w:r>
      <w:r w:rsidRPr="003A4EB7">
        <w:rPr>
          <w:bCs/>
          <w:szCs w:val="24"/>
        </w:rPr>
        <w:t xml:space="preserve">: </w:t>
      </w:r>
    </w:p>
    <w:p w14:paraId="00DE290F" w14:textId="77777777" w:rsidR="00242FCC" w:rsidRPr="003A4EB7" w:rsidRDefault="00242FCC" w:rsidP="00242FCC">
      <w:pPr>
        <w:tabs>
          <w:tab w:val="left" w:pos="3828"/>
          <w:tab w:val="center" w:pos="5244"/>
        </w:tabs>
        <w:ind w:firstLine="567"/>
        <w:jc w:val="both"/>
        <w:rPr>
          <w:szCs w:val="24"/>
        </w:rPr>
      </w:pPr>
      <w:r w:rsidRPr="003A4EB7">
        <w:rPr>
          <w:szCs w:val="24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11.07.2024.</w:t>
      </w:r>
    </w:p>
    <w:p w14:paraId="65D9C7E3" w14:textId="77777777" w:rsidR="00242FCC" w:rsidRPr="003A4EB7" w:rsidRDefault="00242FCC" w:rsidP="00242FCC">
      <w:pPr>
        <w:ind w:firstLine="567"/>
        <w:jc w:val="both"/>
        <w:rPr>
          <w:szCs w:val="24"/>
        </w:rPr>
      </w:pPr>
      <w:r w:rsidRPr="003A4EB7">
        <w:rPr>
          <w:szCs w:val="24"/>
        </w:rPr>
        <w:t xml:space="preserve">До 15.01.2024 предоставить на склад Поставщика, расположенный на территории Краснодарского края, 100% от общего количества Товара (для возможности Заказчику провести выборочную приемку товара).  </w:t>
      </w:r>
    </w:p>
    <w:p w14:paraId="6ED64C72" w14:textId="77777777" w:rsidR="00242FCC" w:rsidRPr="003A4EB7" w:rsidRDefault="00242FCC" w:rsidP="00242FCC">
      <w:pPr>
        <w:rPr>
          <w:szCs w:val="24"/>
        </w:rPr>
      </w:pPr>
    </w:p>
    <w:p w14:paraId="5B001993" w14:textId="77777777" w:rsidR="005E5EAB" w:rsidRPr="003A4EB7" w:rsidRDefault="005E5EAB" w:rsidP="00F935B8">
      <w:pPr>
        <w:widowControl w:val="0"/>
        <w:jc w:val="center"/>
        <w:rPr>
          <w:b/>
          <w:szCs w:val="24"/>
        </w:rPr>
      </w:pPr>
    </w:p>
    <w:sectPr w:rsidR="005E5EAB" w:rsidRPr="003A4EB7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2E3F95D2" w14:textId="77777777" w:rsidR="00242FCC" w:rsidRDefault="00242FCC" w:rsidP="00242FCC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58635C0D" w14:textId="77777777" w:rsidR="00242FCC" w:rsidRDefault="00242FCC" w:rsidP="00242FCC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2FCC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A4EB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FC9F9-83BE-4344-B009-1DCF0330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D8CB-D85D-4BB8-B89F-E7DBED97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144</cp:revision>
  <dcterms:created xsi:type="dcterms:W3CDTF">2021-12-29T15:28:00Z</dcterms:created>
  <dcterms:modified xsi:type="dcterms:W3CDTF">2023-10-25T13:11:00Z</dcterms:modified>
</cp:coreProperties>
</file>