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2D" w:rsidRPr="001740BD" w:rsidRDefault="00AA202D" w:rsidP="0018486A">
      <w:pPr>
        <w:pStyle w:val="afff"/>
        <w:rPr>
          <w:bCs/>
          <w:color w:val="000000" w:themeColor="text1"/>
          <w:szCs w:val="26"/>
          <w:lang w:eastAsia="en-US"/>
        </w:rPr>
      </w:pPr>
    </w:p>
    <w:p w:rsidR="00AA202D" w:rsidRPr="001740BD" w:rsidRDefault="00AA202D" w:rsidP="0018486A">
      <w:pPr>
        <w:pStyle w:val="afff"/>
        <w:rPr>
          <w:bCs/>
          <w:color w:val="000000" w:themeColor="text1"/>
          <w:szCs w:val="26"/>
          <w:lang w:eastAsia="en-US"/>
        </w:rPr>
      </w:pPr>
    </w:p>
    <w:p w:rsidR="00AA202D" w:rsidRPr="001740BD" w:rsidRDefault="00AA202D" w:rsidP="00AA202D">
      <w:pPr>
        <w:tabs>
          <w:tab w:val="left" w:pos="1089"/>
        </w:tabs>
        <w:rPr>
          <w:color w:val="000000" w:themeColor="text1"/>
          <w:sz w:val="26"/>
          <w:szCs w:val="26"/>
        </w:rPr>
      </w:pPr>
    </w:p>
    <w:p w:rsidR="00AA202D" w:rsidRPr="001740BD" w:rsidRDefault="00AA202D" w:rsidP="00AA202D">
      <w:pPr>
        <w:spacing w:line="300" w:lineRule="exact"/>
        <w:ind w:firstLine="709"/>
        <w:jc w:val="center"/>
        <w:rPr>
          <w:b/>
          <w:color w:val="000000" w:themeColor="text1"/>
          <w:sz w:val="26"/>
          <w:szCs w:val="26"/>
        </w:rPr>
      </w:pPr>
      <w:r w:rsidRPr="001740BD">
        <w:rPr>
          <w:b/>
          <w:color w:val="000000" w:themeColor="text1"/>
          <w:sz w:val="26"/>
          <w:szCs w:val="26"/>
        </w:rPr>
        <w:t>Техническое задание</w:t>
      </w:r>
    </w:p>
    <w:p w:rsidR="00BF08C2" w:rsidRPr="001740BD" w:rsidRDefault="00BF08C2" w:rsidP="00AA202D">
      <w:pPr>
        <w:spacing w:line="300" w:lineRule="exact"/>
        <w:ind w:firstLine="709"/>
        <w:jc w:val="center"/>
        <w:rPr>
          <w:b/>
          <w:color w:val="000000" w:themeColor="text1"/>
          <w:sz w:val="26"/>
          <w:szCs w:val="26"/>
        </w:rPr>
      </w:pPr>
      <w:r w:rsidRPr="001740BD">
        <w:rPr>
          <w:rFonts w:eastAsia="Arial" w:cs="Arial"/>
          <w:b/>
          <w:color w:val="000000" w:themeColor="text1"/>
          <w:sz w:val="26"/>
          <w:szCs w:val="26"/>
        </w:rPr>
        <w:t>на оказание в 2022 году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BF08C2" w:rsidRPr="001740BD" w:rsidRDefault="00BF08C2" w:rsidP="00AA202D">
      <w:pPr>
        <w:spacing w:line="300" w:lineRule="exact"/>
        <w:ind w:firstLine="709"/>
        <w:jc w:val="center"/>
        <w:rPr>
          <w:b/>
          <w:color w:val="000000" w:themeColor="text1"/>
          <w:sz w:val="26"/>
          <w:szCs w:val="26"/>
        </w:rPr>
      </w:pPr>
    </w:p>
    <w:p w:rsidR="00AA202D" w:rsidRPr="001740BD" w:rsidRDefault="00AA202D" w:rsidP="00AA202D">
      <w:pPr>
        <w:tabs>
          <w:tab w:val="left" w:pos="1089"/>
        </w:tabs>
        <w:rPr>
          <w:color w:val="000000" w:themeColor="text1"/>
          <w:sz w:val="26"/>
          <w:szCs w:val="26"/>
        </w:rPr>
      </w:pPr>
    </w:p>
    <w:p w:rsidR="004966C1" w:rsidRPr="001740BD" w:rsidRDefault="00235F19" w:rsidP="004966C1">
      <w:pPr>
        <w:keepNext/>
        <w:widowControl w:val="0"/>
        <w:overflowPunct w:val="0"/>
        <w:autoSpaceDE w:val="0"/>
        <w:spacing w:line="360" w:lineRule="exact"/>
        <w:contextualSpacing/>
        <w:jc w:val="both"/>
        <w:textAlignment w:val="baseline"/>
        <w:rPr>
          <w:b/>
          <w:color w:val="000000" w:themeColor="text1"/>
          <w:spacing w:val="-4"/>
          <w:u w:val="single"/>
        </w:rPr>
      </w:pPr>
      <w:r w:rsidRPr="001740BD">
        <w:rPr>
          <w:b/>
          <w:color w:val="000000" w:themeColor="text1"/>
          <w:spacing w:val="-4"/>
          <w:u w:val="single"/>
        </w:rPr>
        <w:t>Количество услуг:</w:t>
      </w:r>
      <w:r w:rsidRPr="001740BD">
        <w:rPr>
          <w:b/>
          <w:color w:val="000000" w:themeColor="text1"/>
          <w:spacing w:val="-4"/>
        </w:rPr>
        <w:t xml:space="preserve"> </w:t>
      </w:r>
      <w:r w:rsidR="004966C1" w:rsidRPr="001740BD">
        <w:rPr>
          <w:rFonts w:eastAsia="Arial" w:cs="Arial"/>
          <w:b/>
          <w:color w:val="000000" w:themeColor="text1"/>
        </w:rPr>
        <w:t>63</w:t>
      </w:r>
      <w:r w:rsidR="004966C1" w:rsidRPr="001740BD">
        <w:rPr>
          <w:rFonts w:eastAsia="Arial" w:cs="Arial"/>
          <w:color w:val="000000" w:themeColor="text1"/>
        </w:rPr>
        <w:t xml:space="preserve"> койко-дня (что составляет количество путевок – 3 шт., продолжительность санаторно-курортного лечения – 21 день) для застрахованных лиц и для сопровождающих - </w:t>
      </w:r>
      <w:r w:rsidR="004966C1" w:rsidRPr="001740BD">
        <w:rPr>
          <w:rFonts w:eastAsia="Arial" w:cs="Arial"/>
          <w:b/>
          <w:color w:val="000000" w:themeColor="text1"/>
        </w:rPr>
        <w:t>63</w:t>
      </w:r>
      <w:r w:rsidR="004966C1" w:rsidRPr="001740BD">
        <w:rPr>
          <w:rFonts w:eastAsia="Arial" w:cs="Arial"/>
          <w:color w:val="000000" w:themeColor="text1"/>
        </w:rPr>
        <w:t xml:space="preserve"> койко-дня (что составляет количество путевок – 3 шт., продолжительность санаторно-курортного лечения – 21 день).</w:t>
      </w:r>
    </w:p>
    <w:p w:rsidR="004966C1" w:rsidRPr="001740BD" w:rsidRDefault="004966C1" w:rsidP="00AA202D">
      <w:pPr>
        <w:keepNext/>
        <w:widowControl w:val="0"/>
        <w:overflowPunct w:val="0"/>
        <w:autoSpaceDE w:val="0"/>
        <w:spacing w:line="360" w:lineRule="exact"/>
        <w:contextualSpacing/>
        <w:jc w:val="both"/>
        <w:textAlignment w:val="baseline"/>
        <w:rPr>
          <w:b/>
          <w:color w:val="000000" w:themeColor="text1"/>
          <w:spacing w:val="-4"/>
          <w:u w:val="single"/>
        </w:rPr>
      </w:pPr>
      <w:r w:rsidRPr="001740BD">
        <w:rPr>
          <w:rFonts w:eastAsia="Arial" w:cs="Arial"/>
          <w:b/>
          <w:color w:val="000000" w:themeColor="text1"/>
        </w:rPr>
        <w:t xml:space="preserve">588 </w:t>
      </w:r>
      <w:r w:rsidRPr="001740BD">
        <w:rPr>
          <w:rFonts w:eastAsia="Arial" w:cs="Arial"/>
          <w:color w:val="000000" w:themeColor="text1"/>
        </w:rPr>
        <w:t xml:space="preserve">койко-дней (что составляет количество путевок – 14 шт., продолжительность санаторно-курортного лечения – 42 дня) </w:t>
      </w:r>
      <w:r w:rsidR="00A80198" w:rsidRPr="001740BD">
        <w:rPr>
          <w:rFonts w:eastAsia="Arial" w:cs="Arial"/>
          <w:color w:val="000000" w:themeColor="text1"/>
        </w:rPr>
        <w:t xml:space="preserve">для застрахованных лиц </w:t>
      </w:r>
      <w:r w:rsidRPr="001740BD">
        <w:rPr>
          <w:rFonts w:eastAsia="Arial" w:cs="Arial"/>
          <w:color w:val="000000" w:themeColor="text1"/>
        </w:rPr>
        <w:t xml:space="preserve">и для сопровождающих – </w:t>
      </w:r>
      <w:r w:rsidRPr="001740BD">
        <w:rPr>
          <w:rFonts w:eastAsia="Arial" w:cs="Arial"/>
          <w:b/>
          <w:color w:val="000000" w:themeColor="text1"/>
        </w:rPr>
        <w:t>504</w:t>
      </w:r>
      <w:r w:rsidRPr="001740BD">
        <w:rPr>
          <w:rFonts w:eastAsia="Arial" w:cs="Arial"/>
          <w:color w:val="000000" w:themeColor="text1"/>
        </w:rPr>
        <w:t xml:space="preserve"> койко-дня (что составляет количество путевок – 12 шт., продолжительность санаторно-курортного лечения – 42 дня).</w:t>
      </w:r>
    </w:p>
    <w:p w:rsidR="00AA202D" w:rsidRPr="001740BD" w:rsidRDefault="00AA202D" w:rsidP="00AA202D">
      <w:pPr>
        <w:keepNext/>
        <w:widowControl w:val="0"/>
        <w:overflowPunct w:val="0"/>
        <w:autoSpaceDE w:val="0"/>
        <w:spacing w:line="360" w:lineRule="exact"/>
        <w:contextualSpacing/>
        <w:jc w:val="both"/>
        <w:textAlignment w:val="baseline"/>
        <w:rPr>
          <w:color w:val="000000" w:themeColor="text1"/>
          <w:spacing w:val="-4"/>
        </w:rPr>
      </w:pPr>
      <w:r w:rsidRPr="001740BD">
        <w:rPr>
          <w:b/>
          <w:color w:val="000000" w:themeColor="text1"/>
          <w:spacing w:val="-4"/>
          <w:u w:val="single"/>
        </w:rPr>
        <w:t>Место оказания услуг:</w:t>
      </w:r>
      <w:r w:rsidRPr="001740BD">
        <w:rPr>
          <w:b/>
          <w:color w:val="000000" w:themeColor="text1"/>
          <w:spacing w:val="-4"/>
        </w:rPr>
        <w:t xml:space="preserve"> </w:t>
      </w:r>
      <w:r w:rsidRPr="001740BD">
        <w:rPr>
          <w:bCs/>
          <w:color w:val="000000" w:themeColor="text1"/>
        </w:rPr>
        <w:t>Российская Федерация: лечебно-оздоровительная зона Самарской области или курорт Самарской области</w:t>
      </w:r>
    </w:p>
    <w:p w:rsidR="004966C1" w:rsidRPr="001740BD" w:rsidRDefault="00AA202D" w:rsidP="004966C1">
      <w:pPr>
        <w:widowControl w:val="0"/>
        <w:spacing w:line="360" w:lineRule="exact"/>
        <w:contextualSpacing/>
        <w:jc w:val="both"/>
        <w:rPr>
          <w:b/>
          <w:color w:val="000000" w:themeColor="text1"/>
          <w:spacing w:val="-4"/>
        </w:rPr>
      </w:pPr>
      <w:r w:rsidRPr="001740BD">
        <w:rPr>
          <w:b/>
          <w:color w:val="000000" w:themeColor="text1"/>
          <w:spacing w:val="-4"/>
          <w:u w:val="single"/>
        </w:rPr>
        <w:t>Срок оказания услуг</w:t>
      </w:r>
      <w:r w:rsidRPr="001740BD">
        <w:rPr>
          <w:b/>
          <w:color w:val="000000" w:themeColor="text1"/>
          <w:spacing w:val="-4"/>
        </w:rPr>
        <w:t xml:space="preserve">: </w:t>
      </w:r>
    </w:p>
    <w:p w:rsidR="004966C1" w:rsidRPr="001740BD" w:rsidRDefault="004966C1" w:rsidP="004966C1">
      <w:pPr>
        <w:widowControl w:val="0"/>
        <w:spacing w:line="360" w:lineRule="exact"/>
        <w:contextualSpacing/>
        <w:jc w:val="both"/>
        <w:rPr>
          <w:b/>
          <w:color w:val="000000" w:themeColor="text1"/>
          <w:spacing w:val="-4"/>
        </w:rPr>
      </w:pPr>
      <w:r w:rsidRPr="001740BD">
        <w:rPr>
          <w:b/>
          <w:color w:val="000000" w:themeColor="text1"/>
          <w:spacing w:val="-4"/>
        </w:rPr>
        <w:t xml:space="preserve">- </w:t>
      </w:r>
      <w:r w:rsidRPr="001740BD">
        <w:rPr>
          <w:color w:val="000000" w:themeColor="text1"/>
        </w:rPr>
        <w:t xml:space="preserve">в течение 2022 года. </w:t>
      </w:r>
    </w:p>
    <w:p w:rsidR="004966C1" w:rsidRPr="001740BD" w:rsidRDefault="004966C1" w:rsidP="004966C1">
      <w:pPr>
        <w:widowControl w:val="0"/>
        <w:spacing w:line="360" w:lineRule="exact"/>
        <w:contextualSpacing/>
        <w:jc w:val="both"/>
        <w:rPr>
          <w:b/>
          <w:color w:val="000000" w:themeColor="text1"/>
          <w:spacing w:val="-4"/>
        </w:rPr>
      </w:pPr>
      <w:r w:rsidRPr="001740BD">
        <w:rPr>
          <w:b/>
          <w:color w:val="000000" w:themeColor="text1"/>
          <w:spacing w:val="-4"/>
        </w:rPr>
        <w:t xml:space="preserve">- </w:t>
      </w:r>
      <w:r w:rsidRPr="001740BD">
        <w:rPr>
          <w:color w:val="000000" w:themeColor="text1"/>
        </w:rPr>
        <w:t>не менее 10% от общего количества койко-дней должны приходиться на заезд в период: июнь - август 2022 г.</w:t>
      </w:r>
    </w:p>
    <w:p w:rsidR="004966C1" w:rsidRPr="001740BD" w:rsidRDefault="004966C1" w:rsidP="004966C1">
      <w:pPr>
        <w:widowControl w:val="0"/>
        <w:spacing w:line="360" w:lineRule="exact"/>
        <w:contextualSpacing/>
        <w:jc w:val="both"/>
        <w:rPr>
          <w:b/>
          <w:color w:val="000000" w:themeColor="text1"/>
          <w:spacing w:val="-4"/>
        </w:rPr>
      </w:pPr>
      <w:r w:rsidRPr="001740BD">
        <w:rPr>
          <w:b/>
          <w:color w:val="000000" w:themeColor="text1"/>
          <w:spacing w:val="-4"/>
        </w:rPr>
        <w:t xml:space="preserve">- </w:t>
      </w:r>
      <w:r w:rsidRPr="001740BD">
        <w:rPr>
          <w:color w:val="000000" w:themeColor="text1"/>
        </w:rPr>
        <w:t>срок окончания последнего заезда по путевкам должен быть не позднее 31 октября 2022 г., а по перенесенным и дополнительным путевкам не позднее 15 декабря 2022 г.</w:t>
      </w:r>
    </w:p>
    <w:p w:rsidR="00AA202D" w:rsidRPr="001740BD" w:rsidRDefault="00AA202D" w:rsidP="00AA202D">
      <w:pPr>
        <w:widowControl w:val="0"/>
        <w:contextualSpacing/>
        <w:jc w:val="both"/>
        <w:rPr>
          <w:color w:val="000000" w:themeColor="text1"/>
        </w:rPr>
      </w:pPr>
    </w:p>
    <w:p w:rsidR="00AA202D" w:rsidRPr="001740BD" w:rsidRDefault="00AA202D" w:rsidP="00AA202D">
      <w:pPr>
        <w:widowControl w:val="0"/>
        <w:contextualSpacing/>
        <w:jc w:val="center"/>
        <w:rPr>
          <w:b/>
          <w:color w:val="000000" w:themeColor="text1"/>
        </w:rPr>
      </w:pPr>
      <w:r w:rsidRPr="001740BD">
        <w:rPr>
          <w:b/>
          <w:color w:val="000000" w:themeColor="text1"/>
        </w:rPr>
        <w:t>Предмет закупки</w:t>
      </w:r>
    </w:p>
    <w:p w:rsidR="00BF08C2" w:rsidRPr="001740BD" w:rsidRDefault="00BF08C2" w:rsidP="00BF08C2">
      <w:pPr>
        <w:pStyle w:val="affb"/>
        <w:tabs>
          <w:tab w:val="left" w:pos="3459"/>
        </w:tabs>
        <w:spacing w:after="0" w:line="360" w:lineRule="exact"/>
        <w:ind w:left="0" w:firstLine="709"/>
        <w:rPr>
          <w:rFonts w:eastAsia="Arial" w:cs="Arial"/>
          <w:color w:val="000000" w:themeColor="text1"/>
        </w:rPr>
      </w:pPr>
      <w:r w:rsidRPr="001740BD">
        <w:rPr>
          <w:rFonts w:eastAsia="Arial" w:cs="Arial"/>
          <w:color w:val="000000" w:themeColor="text1"/>
        </w:rPr>
        <w:t>Оказание в 2022 году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BF08C2" w:rsidRPr="001740BD" w:rsidRDefault="00BF08C2" w:rsidP="00BF08C2">
      <w:pPr>
        <w:pStyle w:val="affb"/>
        <w:tabs>
          <w:tab w:val="left" w:pos="3459"/>
        </w:tabs>
        <w:spacing w:after="0" w:line="360" w:lineRule="exact"/>
        <w:ind w:left="0"/>
        <w:rPr>
          <w:rFonts w:eastAsia="Arial" w:cs="Arial"/>
          <w:b/>
          <w:color w:val="000000" w:themeColor="text1"/>
        </w:rPr>
      </w:pPr>
    </w:p>
    <w:p w:rsidR="00AA202D" w:rsidRPr="001740BD" w:rsidRDefault="00AA202D" w:rsidP="00AA202D">
      <w:pPr>
        <w:widowControl w:val="0"/>
        <w:contextualSpacing/>
        <w:jc w:val="center"/>
        <w:rPr>
          <w:rFonts w:eastAsia="Calibri"/>
          <w:b/>
          <w:color w:val="000000" w:themeColor="text1"/>
          <w:lang w:eastAsia="en-US"/>
        </w:rPr>
      </w:pPr>
      <w:r w:rsidRPr="001740BD">
        <w:rPr>
          <w:rFonts w:eastAsia="Calibri"/>
          <w:b/>
          <w:color w:val="000000" w:themeColor="text1"/>
          <w:lang w:eastAsia="en-US"/>
        </w:rPr>
        <w:t>Требования к качеству услуг</w:t>
      </w:r>
    </w:p>
    <w:p w:rsidR="00AA202D" w:rsidRPr="001740BD" w:rsidRDefault="00AA202D" w:rsidP="00AA202D">
      <w:pPr>
        <w:pStyle w:val="afff"/>
        <w:jc w:val="left"/>
        <w:rPr>
          <w:bCs/>
          <w:color w:val="000000" w:themeColor="text1"/>
          <w:sz w:val="24"/>
          <w:szCs w:val="24"/>
          <w:lang w:eastAsia="en-US"/>
        </w:rPr>
      </w:pPr>
    </w:p>
    <w:p w:rsidR="00AA42DC" w:rsidRPr="001740BD" w:rsidRDefault="00AA42DC" w:rsidP="00AA202D">
      <w:pPr>
        <w:widowControl w:val="0"/>
        <w:spacing w:line="360" w:lineRule="exact"/>
        <w:ind w:firstLine="709"/>
        <w:jc w:val="both"/>
        <w:rPr>
          <w:rFonts w:eastAsia="Calibri"/>
          <w:color w:val="000000" w:themeColor="text1"/>
          <w:lang w:eastAsia="en-US"/>
        </w:rPr>
      </w:pPr>
      <w:r w:rsidRPr="001740BD">
        <w:rPr>
          <w:rFonts w:eastAsia="Calibri"/>
          <w:color w:val="000000" w:themeColor="text1"/>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A42DC" w:rsidRPr="001740BD" w:rsidRDefault="00AA42DC" w:rsidP="00AA202D">
      <w:pPr>
        <w:widowControl w:val="0"/>
        <w:spacing w:line="360" w:lineRule="exact"/>
        <w:ind w:firstLine="709"/>
        <w:jc w:val="both"/>
        <w:rPr>
          <w:rFonts w:eastAsia="Calibri"/>
          <w:color w:val="000000" w:themeColor="text1"/>
          <w:lang w:eastAsia="en-US"/>
        </w:rPr>
      </w:pPr>
      <w:r w:rsidRPr="001740BD">
        <w:rPr>
          <w:rFonts w:eastAsia="Calibri"/>
          <w:color w:val="000000" w:themeColor="text1"/>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Услуги по санаторно-курортному лечению должны быть выполнены и оказаны: </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lastRenderedPageBreak/>
        <w:t>- с надлежащим качеством с учетом Методических указаний, утвержденных Министерством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3649B3" w:rsidRPr="001740BD">
        <w:rPr>
          <w:rFonts w:eastAsia="Calibri"/>
          <w:color w:val="000000" w:themeColor="text1"/>
          <w:lang w:eastAsia="en-US"/>
        </w:rPr>
        <w:t>ГОСТ Р 52877-2021</w:t>
      </w:r>
      <w:r w:rsidRPr="001740BD">
        <w:rPr>
          <w:rFonts w:eastAsia="Calibri"/>
          <w:color w:val="000000" w:themeColor="text1"/>
          <w:lang w:eastAsia="en-US"/>
        </w:rPr>
        <w:t>)</w:t>
      </w:r>
      <w:r w:rsidR="003649B3" w:rsidRPr="001740BD">
        <w:rPr>
          <w:rFonts w:eastAsia="Calibri"/>
          <w:color w:val="000000" w:themeColor="text1"/>
          <w:lang w:eastAsia="en-US"/>
        </w:rPr>
        <w:t>.</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«О лицензировании отдельных видов деятельности» и заверенную в надлежащем порядке.</w:t>
      </w:r>
    </w:p>
    <w:p w:rsidR="00AA42DC" w:rsidRPr="001740BD" w:rsidRDefault="00AA42DC" w:rsidP="00AA202D">
      <w:pPr>
        <w:tabs>
          <w:tab w:val="left" w:pos="7087"/>
        </w:tabs>
        <w:spacing w:line="360" w:lineRule="exact"/>
        <w:ind w:firstLine="709"/>
        <w:jc w:val="both"/>
        <w:rPr>
          <w:rFonts w:eastAsia="Calibri"/>
          <w:color w:val="000000" w:themeColor="text1"/>
          <w:lang w:eastAsia="en-US"/>
        </w:rPr>
      </w:pPr>
      <w:r w:rsidRPr="001740BD">
        <w:rPr>
          <w:rFonts w:eastAsia="Calibri"/>
          <w:color w:val="000000" w:themeColor="text1"/>
          <w:lang w:eastAsia="en-US"/>
        </w:rPr>
        <w:tab/>
      </w:r>
    </w:p>
    <w:p w:rsidR="00AA42DC" w:rsidRPr="001740BD" w:rsidRDefault="00AA42DC" w:rsidP="00AA202D">
      <w:pPr>
        <w:spacing w:line="360" w:lineRule="exact"/>
        <w:ind w:firstLine="709"/>
        <w:jc w:val="both"/>
        <w:rPr>
          <w:rFonts w:eastAsia="Calibri"/>
          <w:b/>
          <w:color w:val="000000" w:themeColor="text1"/>
          <w:lang w:eastAsia="en-US"/>
        </w:rPr>
      </w:pPr>
      <w:r w:rsidRPr="001740BD">
        <w:rPr>
          <w:rFonts w:eastAsia="Calibri"/>
          <w:b/>
          <w:color w:val="000000" w:themeColor="text1"/>
          <w:lang w:eastAsia="en-US"/>
        </w:rPr>
        <w:t xml:space="preserve">Общие требования к организациям, оказывающим санаторно-курортные услуги </w:t>
      </w:r>
    </w:p>
    <w:p w:rsidR="00AA42DC" w:rsidRPr="001740BD" w:rsidRDefault="00AA42DC" w:rsidP="00AA202D">
      <w:pPr>
        <w:spacing w:line="360" w:lineRule="exact"/>
        <w:ind w:firstLine="709"/>
        <w:jc w:val="both"/>
        <w:rPr>
          <w:rFonts w:eastAsia="Calibri"/>
          <w:color w:val="000000" w:themeColor="text1"/>
          <w:lang w:eastAsia="en-US"/>
        </w:rPr>
      </w:pP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202D" w:rsidRPr="001740BD" w:rsidRDefault="00AA202D" w:rsidP="00AA202D">
      <w:pPr>
        <w:spacing w:line="360" w:lineRule="exact"/>
        <w:ind w:firstLine="709"/>
        <w:jc w:val="both"/>
        <w:rPr>
          <w:rFonts w:eastAsia="Calibri"/>
          <w:color w:val="000000" w:themeColor="text1"/>
          <w:lang w:eastAsia="en-US"/>
        </w:rPr>
      </w:pP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2. Требования к прилегающей территории и зоне отдыха:</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1740BD" w:rsidRDefault="00AA42DC" w:rsidP="00AA202D">
      <w:pPr>
        <w:spacing w:line="360" w:lineRule="exact"/>
        <w:ind w:firstLine="709"/>
        <w:jc w:val="both"/>
        <w:rPr>
          <w:rFonts w:eastAsia="Calibri"/>
          <w:color w:val="000000" w:themeColor="text1"/>
          <w:lang w:eastAsia="en-US"/>
        </w:rPr>
      </w:pP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3. Требования к зданиям, техническому оборудованию и оснащению помещений организаций, оказывающих санаторно-курортные услуги:</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-Аварийное освещение и энергоснабжение (стационарный генератор или аккумуляторы и фонари)</w:t>
      </w:r>
      <w:r w:rsidR="00E62460" w:rsidRPr="001740BD">
        <w:rPr>
          <w:rFonts w:eastAsia="Calibri"/>
          <w:color w:val="000000" w:themeColor="text1"/>
          <w:lang w:eastAsia="en-US"/>
        </w:rPr>
        <w:t>;</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-Естественное и/или искусственное освещение в коридорах и на лестницах круглосуточно</w:t>
      </w:r>
      <w:r w:rsidR="00E62460" w:rsidRPr="001740BD">
        <w:rPr>
          <w:rFonts w:eastAsia="Calibri"/>
          <w:color w:val="000000" w:themeColor="text1"/>
          <w:lang w:eastAsia="en-US"/>
        </w:rPr>
        <w:t>;</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-Водоснабжение (круглосуточно) – горячее </w:t>
      </w:r>
      <w:r w:rsidR="00E62460" w:rsidRPr="001740BD">
        <w:rPr>
          <w:rFonts w:eastAsia="Calibri"/>
          <w:color w:val="000000" w:themeColor="text1"/>
          <w:lang w:eastAsia="en-US"/>
        </w:rPr>
        <w:t>и холодное;</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-Наличие емкости для минимального запаса воды не менее чем на сутки на время аварии, профилактических работ</w:t>
      </w:r>
      <w:r w:rsidR="00E62460" w:rsidRPr="001740BD">
        <w:rPr>
          <w:rFonts w:eastAsia="Calibri"/>
          <w:color w:val="000000" w:themeColor="text1"/>
          <w:lang w:eastAsia="en-US"/>
        </w:rPr>
        <w:t>;</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-Установка по обработке воды с целью обеспечения ее пригодности для питья или наличие бутилированной пить</w:t>
      </w:r>
      <w:r w:rsidR="00E62460" w:rsidRPr="001740BD">
        <w:rPr>
          <w:rFonts w:eastAsia="Calibri"/>
          <w:color w:val="000000" w:themeColor="text1"/>
          <w:lang w:eastAsia="en-US"/>
        </w:rPr>
        <w:t>евой воды в номере (бесплатно);</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lastRenderedPageBreak/>
        <w:t>-Отопление, обеспечивающее температуру воздуха в жилых и общественных помещениях не ниже 18,5 °C</w:t>
      </w:r>
      <w:r w:rsidR="00E62460" w:rsidRPr="001740BD">
        <w:rPr>
          <w:rFonts w:eastAsia="Calibri"/>
          <w:color w:val="000000" w:themeColor="text1"/>
          <w:lang w:eastAsia="en-US"/>
        </w:rPr>
        <w:t>;</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-Вентиляция (естественная или принудительная) или кондиционирование воздуха во всех помещениях круглогодично</w:t>
      </w:r>
      <w:r w:rsidR="00E62460" w:rsidRPr="001740BD">
        <w:rPr>
          <w:rFonts w:eastAsia="Calibri"/>
          <w:color w:val="000000" w:themeColor="text1"/>
          <w:lang w:eastAsia="en-US"/>
        </w:rPr>
        <w:t>:</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-Звукоизоляция, обеспечи</w:t>
      </w:r>
      <w:r w:rsidR="00E62460" w:rsidRPr="001740BD">
        <w:rPr>
          <w:rFonts w:eastAsia="Calibri"/>
          <w:color w:val="000000" w:themeColor="text1"/>
          <w:lang w:eastAsia="en-US"/>
        </w:rPr>
        <w:t>вающая уровень шума менее 35 дБ;</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служба приема (круглосуточный прием);</w:t>
      </w:r>
    </w:p>
    <w:p w:rsidR="00AA42DC" w:rsidRPr="001740BD" w:rsidRDefault="00AA42DC" w:rsidP="004F02A1">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1740BD" w:rsidRDefault="00AA42DC" w:rsidP="00AA202D">
      <w:pPr>
        <w:spacing w:line="360" w:lineRule="exact"/>
        <w:ind w:firstLine="709"/>
        <w:jc w:val="both"/>
        <w:rPr>
          <w:rFonts w:eastAsia="Calibri"/>
          <w:color w:val="000000" w:themeColor="text1"/>
          <w:lang w:eastAsia="en-US"/>
        </w:rPr>
      </w:pP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1740BD" w:rsidRDefault="00496379"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 соответствовать требованиям СП </w:t>
      </w:r>
      <w:r w:rsidRPr="001740BD">
        <w:rPr>
          <w:bCs/>
          <w:color w:val="000000" w:themeColor="text1"/>
          <w:shd w:val="clear" w:color="auto" w:fill="FFFFFF"/>
        </w:rPr>
        <w:t xml:space="preserve">59.13330.2020 "СНиП 35-01-2001 Доступность зданий и сооружений для маломобильных групп населения" (утвержден </w:t>
      </w:r>
      <w:hyperlink r:id="rId8" w:anchor="7D20K3" w:history="1">
        <w:r w:rsidRPr="001740BD">
          <w:rPr>
            <w:color w:val="000000" w:themeColor="text1"/>
            <w:shd w:val="clear" w:color="auto" w:fill="FFFFFF"/>
          </w:rPr>
          <w:t>приказом Министерства строительства и жилищно-коммунального хозяйства Российской Федерации от 30 декабря 2020 г. № 904/</w:t>
        </w:r>
        <w:proofErr w:type="spellStart"/>
        <w:r w:rsidRPr="001740BD">
          <w:rPr>
            <w:color w:val="000000" w:themeColor="text1"/>
            <w:shd w:val="clear" w:color="auto" w:fill="FFFFFF"/>
          </w:rPr>
          <w:t>пр</w:t>
        </w:r>
        <w:proofErr w:type="spellEnd"/>
      </w:hyperlink>
      <w:r w:rsidRPr="001740BD">
        <w:rPr>
          <w:color w:val="000000" w:themeColor="text1"/>
          <w:shd w:val="clear" w:color="auto" w:fill="FFFFFF"/>
        </w:rPr>
        <w:t>)</w:t>
      </w:r>
      <w:r w:rsidR="00AA42DC" w:rsidRPr="001740BD">
        <w:rPr>
          <w:rFonts w:eastAsia="Calibri"/>
          <w:color w:val="000000" w:themeColor="text1"/>
          <w:lang w:eastAsia="en-US"/>
        </w:rPr>
        <w:t xml:space="preserve">: </w:t>
      </w:r>
      <w:proofErr w:type="spellStart"/>
      <w:r w:rsidR="00AA42DC" w:rsidRPr="001740BD">
        <w:rPr>
          <w:rFonts w:eastAsia="Calibri"/>
          <w:color w:val="000000" w:themeColor="text1"/>
          <w:lang w:eastAsia="en-US"/>
        </w:rPr>
        <w:t>безбарьерная</w:t>
      </w:r>
      <w:proofErr w:type="spellEnd"/>
      <w:r w:rsidR="00AA42DC" w:rsidRPr="001740BD">
        <w:rPr>
          <w:rFonts w:eastAsia="Calibri"/>
          <w:color w:val="000000" w:themeColor="text1"/>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Должна быть обеспечена доступная среда для маломобильных групп населения.</w:t>
      </w:r>
    </w:p>
    <w:p w:rsidR="00AA42DC" w:rsidRPr="001740BD" w:rsidRDefault="00AA42DC" w:rsidP="00AA202D">
      <w:pPr>
        <w:spacing w:line="360" w:lineRule="exact"/>
        <w:ind w:firstLine="709"/>
        <w:jc w:val="both"/>
        <w:rPr>
          <w:rFonts w:eastAsia="Calibri"/>
          <w:color w:val="000000" w:themeColor="text1"/>
          <w:lang w:eastAsia="en-US"/>
        </w:rPr>
      </w:pP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1740BD" w:rsidRDefault="00AA42DC" w:rsidP="00AA202D">
      <w:pPr>
        <w:spacing w:line="360" w:lineRule="exact"/>
        <w:ind w:firstLine="709"/>
        <w:jc w:val="both"/>
        <w:rPr>
          <w:rFonts w:eastAsia="Calibri"/>
          <w:color w:val="000000" w:themeColor="text1"/>
          <w:lang w:eastAsia="en-US"/>
        </w:rPr>
      </w:pP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Площадь номера должна позволять проживающему свободно, удобно и </w:t>
      </w:r>
      <w:r w:rsidR="00E62460" w:rsidRPr="001740BD">
        <w:rPr>
          <w:rFonts w:eastAsia="Calibri"/>
          <w:color w:val="000000" w:themeColor="text1"/>
          <w:lang w:eastAsia="en-US"/>
        </w:rPr>
        <w:t>безопасно передвигаться,</w:t>
      </w:r>
      <w:r w:rsidRPr="001740BD">
        <w:rPr>
          <w:rFonts w:eastAsia="Calibri"/>
          <w:color w:val="000000" w:themeColor="text1"/>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м2, однокомнатного двухместного - 12 м2.</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w:t>
      </w:r>
      <w:r w:rsidRPr="001740BD">
        <w:rPr>
          <w:rFonts w:eastAsia="Calibri"/>
          <w:color w:val="000000" w:themeColor="text1"/>
          <w:lang w:eastAsia="en-US"/>
        </w:rPr>
        <w:lastRenderedPageBreak/>
        <w:t>средства личной гигиены (мыло, туалетная бумага). Должно быть обеспечено регулярное удаление отходов и защита от насекомых и грызунов.</w:t>
      </w:r>
    </w:p>
    <w:p w:rsidR="00AA42DC" w:rsidRPr="001740BD" w:rsidRDefault="00AA42DC" w:rsidP="00AA202D">
      <w:pPr>
        <w:spacing w:line="360" w:lineRule="exact"/>
        <w:ind w:firstLine="709"/>
        <w:jc w:val="both"/>
        <w:rPr>
          <w:rFonts w:eastAsia="Calibri"/>
          <w:color w:val="000000" w:themeColor="text1"/>
          <w:lang w:eastAsia="en-US"/>
        </w:rPr>
      </w:pPr>
    </w:p>
    <w:p w:rsidR="00AA42DC" w:rsidRPr="001740BD" w:rsidRDefault="00AA42DC" w:rsidP="004966C1">
      <w:pPr>
        <w:spacing w:line="360" w:lineRule="exact"/>
        <w:ind w:firstLine="709"/>
        <w:jc w:val="both"/>
        <w:rPr>
          <w:rFonts w:eastAsia="Calibri"/>
          <w:color w:val="000000" w:themeColor="text1"/>
          <w:lang w:eastAsia="en-US"/>
        </w:rPr>
      </w:pPr>
      <w:r w:rsidRPr="001740BD">
        <w:rPr>
          <w:rFonts w:eastAsia="Calibri"/>
          <w:color w:val="000000" w:themeColor="text1"/>
          <w:lang w:eastAsia="en-US"/>
        </w:rPr>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w:t>
      </w:r>
      <w:r w:rsidR="0029427A" w:rsidRPr="001740BD">
        <w:rPr>
          <w:rFonts w:eastAsia="Calibri"/>
          <w:color w:val="000000" w:themeColor="text1"/>
          <w:lang w:eastAsia="en-US"/>
        </w:rPr>
        <w:t xml:space="preserve">а России от 05.08.2003 г. № 330 </w:t>
      </w:r>
      <w:r w:rsidRPr="001740BD">
        <w:rPr>
          <w:rFonts w:eastAsia="Calibri"/>
          <w:color w:val="000000" w:themeColor="text1"/>
          <w:lang w:eastAsia="en-US"/>
        </w:rPr>
        <w:t xml:space="preserve">"О мерах по совершенствованию лечебного питания в лечебно-профилактических учреждениях Российской Федерации". </w:t>
      </w:r>
    </w:p>
    <w:p w:rsidR="004966C1" w:rsidRPr="001740BD" w:rsidRDefault="00AA42DC" w:rsidP="004966C1">
      <w:pPr>
        <w:spacing w:line="360" w:lineRule="exact"/>
        <w:ind w:firstLine="709"/>
        <w:jc w:val="both"/>
        <w:rPr>
          <w:rFonts w:eastAsia="Calibri"/>
          <w:color w:val="000000" w:themeColor="text1"/>
          <w:lang w:eastAsia="en-US"/>
        </w:rPr>
      </w:pPr>
      <w:r w:rsidRPr="001740BD">
        <w:rPr>
          <w:rFonts w:eastAsia="Calibri"/>
          <w:color w:val="000000" w:themeColor="text1"/>
          <w:lang w:eastAsia="en-US"/>
        </w:rPr>
        <w:t>Профиль лечения:</w:t>
      </w:r>
    </w:p>
    <w:p w:rsidR="004966C1" w:rsidRPr="001740BD" w:rsidRDefault="004966C1" w:rsidP="004966C1">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 </w:t>
      </w:r>
      <w:r w:rsidRPr="001740BD">
        <w:rPr>
          <w:color w:val="000000" w:themeColor="text1"/>
        </w:rPr>
        <w:t>травмы, отравления и некоторые другие последствия воздействия внешних причин (</w:t>
      </w:r>
      <w:r w:rsidRPr="001740BD">
        <w:rPr>
          <w:color w:val="000000" w:themeColor="text1"/>
          <w:lang w:val="en-US"/>
        </w:rPr>
        <w:t>S</w:t>
      </w:r>
      <w:r w:rsidRPr="001740BD">
        <w:rPr>
          <w:color w:val="000000" w:themeColor="text1"/>
        </w:rPr>
        <w:t>00-</w:t>
      </w:r>
      <w:r w:rsidRPr="001740BD">
        <w:rPr>
          <w:color w:val="000000" w:themeColor="text1"/>
          <w:lang w:val="en-US"/>
        </w:rPr>
        <w:t>T</w:t>
      </w:r>
      <w:r w:rsidRPr="001740BD">
        <w:rPr>
          <w:color w:val="000000" w:themeColor="text1"/>
        </w:rPr>
        <w:t>98), в том числе передвигающиеся при помощи подручных средств или кресел-колясок;</w:t>
      </w:r>
    </w:p>
    <w:p w:rsidR="00235F19" w:rsidRPr="001740BD" w:rsidRDefault="004966C1" w:rsidP="004966C1">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 </w:t>
      </w:r>
      <w:r w:rsidRPr="001740BD">
        <w:rPr>
          <w:color w:val="000000" w:themeColor="text1"/>
        </w:rPr>
        <w:t>болезни нервной системы (</w:t>
      </w:r>
      <w:r w:rsidRPr="001740BD">
        <w:rPr>
          <w:color w:val="000000" w:themeColor="text1"/>
          <w:lang w:val="en-US"/>
        </w:rPr>
        <w:t>G</w:t>
      </w:r>
      <w:r w:rsidRPr="001740BD">
        <w:rPr>
          <w:color w:val="000000" w:themeColor="text1"/>
        </w:rPr>
        <w:t>00-</w:t>
      </w:r>
      <w:r w:rsidRPr="001740BD">
        <w:rPr>
          <w:color w:val="000000" w:themeColor="text1"/>
          <w:lang w:val="en-US"/>
        </w:rPr>
        <w:t>G</w:t>
      </w:r>
      <w:r w:rsidRPr="001740BD">
        <w:rPr>
          <w:color w:val="000000" w:themeColor="text1"/>
        </w:rPr>
        <w:t>99).</w:t>
      </w:r>
    </w:p>
    <w:p w:rsidR="004966C1" w:rsidRPr="001740BD" w:rsidRDefault="00B943CB" w:rsidP="004966C1">
      <w:pPr>
        <w:spacing w:line="360" w:lineRule="exact"/>
        <w:ind w:firstLine="709"/>
        <w:jc w:val="both"/>
        <w:rPr>
          <w:bCs/>
          <w:color w:val="000000" w:themeColor="text1"/>
        </w:rPr>
      </w:pPr>
      <w:r w:rsidRPr="001740BD">
        <w:rPr>
          <w:bCs/>
          <w:color w:val="000000" w:themeColor="text1"/>
        </w:rPr>
        <w:t>Лицензия на оказание санаторно-курортных услуг по профил</w:t>
      </w:r>
      <w:r w:rsidR="004966C1" w:rsidRPr="001740BD">
        <w:rPr>
          <w:bCs/>
          <w:color w:val="000000" w:themeColor="text1"/>
        </w:rPr>
        <w:t xml:space="preserve">ю санаторно-курортного лечения: неврология, травматология и ортопедия, </w:t>
      </w:r>
      <w:proofErr w:type="spellStart"/>
      <w:r w:rsidR="004966C1" w:rsidRPr="001740BD">
        <w:rPr>
          <w:bCs/>
          <w:color w:val="000000" w:themeColor="text1"/>
        </w:rPr>
        <w:t>профпатология</w:t>
      </w:r>
      <w:proofErr w:type="spellEnd"/>
      <w:r w:rsidR="004966C1" w:rsidRPr="001740BD">
        <w:rPr>
          <w:bCs/>
          <w:color w:val="000000" w:themeColor="text1"/>
        </w:rPr>
        <w:t>.</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Требования к оказанию услуг: </w:t>
      </w:r>
    </w:p>
    <w:p w:rsidR="00AA42DC" w:rsidRPr="001740BD" w:rsidRDefault="00AA42DC" w:rsidP="00AA202D">
      <w:pPr>
        <w:spacing w:line="360" w:lineRule="exact"/>
        <w:ind w:firstLine="709"/>
        <w:jc w:val="both"/>
        <w:rPr>
          <w:rFonts w:eastAsia="Calibri"/>
          <w:color w:val="000000" w:themeColor="text1"/>
          <w:lang w:eastAsia="en-US"/>
        </w:rPr>
      </w:pPr>
      <w:r w:rsidRPr="001740BD">
        <w:rPr>
          <w:rFonts w:eastAsia="Calibri"/>
          <w:color w:val="000000" w:themeColor="text1"/>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1740BD">
        <w:rPr>
          <w:color w:val="000000" w:themeColor="text1"/>
        </w:rPr>
        <w:t xml:space="preserve"> </w:t>
      </w:r>
      <w:r w:rsidRPr="001740BD">
        <w:rPr>
          <w:rFonts w:eastAsia="Calibri"/>
          <w:color w:val="000000" w:themeColor="text1"/>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1740BD" w:rsidRDefault="00AA42DC" w:rsidP="001740BD">
      <w:pPr>
        <w:spacing w:line="360" w:lineRule="exact"/>
        <w:ind w:firstLine="709"/>
        <w:jc w:val="both"/>
        <w:rPr>
          <w:rFonts w:eastAsia="Calibri"/>
          <w:color w:val="000000" w:themeColor="text1"/>
          <w:lang w:eastAsia="en-US"/>
        </w:rPr>
      </w:pPr>
      <w:r w:rsidRPr="001740BD">
        <w:rPr>
          <w:rFonts w:eastAsia="Calibri"/>
          <w:color w:val="000000" w:themeColor="text1"/>
          <w:lang w:eastAsia="en-US"/>
        </w:rPr>
        <w:t>Организация должна располагать необходимым числом специалистов (в том числе врачом-</w:t>
      </w:r>
      <w:proofErr w:type="spellStart"/>
      <w:r w:rsidRPr="001740BD">
        <w:rPr>
          <w:rFonts w:eastAsia="Calibri"/>
          <w:color w:val="000000" w:themeColor="text1"/>
          <w:lang w:eastAsia="en-US"/>
        </w:rPr>
        <w:t>профпатологом</w:t>
      </w:r>
      <w:proofErr w:type="spellEnd"/>
      <w:r w:rsidRPr="001740BD">
        <w:rPr>
          <w:rFonts w:eastAsia="Calibri"/>
          <w:color w:val="000000" w:themeColor="text1"/>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1740BD" w:rsidRPr="001740BD" w:rsidRDefault="001740BD" w:rsidP="001740B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Требуется наличие лечебного бассейна с пандусом, с подводной дорожкой-тренажером. Требуется наличие зала с лечебными тренажерами, с </w:t>
      </w:r>
      <w:proofErr w:type="spellStart"/>
      <w:r w:rsidRPr="001740BD">
        <w:rPr>
          <w:rFonts w:eastAsia="Calibri"/>
          <w:color w:val="000000" w:themeColor="text1"/>
          <w:lang w:eastAsia="en-US"/>
        </w:rPr>
        <w:t>параподиумом</w:t>
      </w:r>
      <w:proofErr w:type="spellEnd"/>
      <w:r w:rsidRPr="001740BD">
        <w:rPr>
          <w:rFonts w:eastAsia="Calibri"/>
          <w:color w:val="000000" w:themeColor="text1"/>
          <w:lang w:eastAsia="en-US"/>
        </w:rPr>
        <w:t xml:space="preserve">, и другими инновационными аппаратами, кабинеты трудотерапии, мануальной терапии, ручного и аппаратного массажа, психотерапии, рефлексотерапии должны быть оборудованы с учетом специфики физических возможностей данной категории больных. </w:t>
      </w:r>
    </w:p>
    <w:p w:rsidR="001740BD" w:rsidRPr="001740BD" w:rsidRDefault="001740BD" w:rsidP="001740B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Требуется наличие природного источника с лечебной минеральной водой для </w:t>
      </w:r>
      <w:proofErr w:type="spellStart"/>
      <w:r w:rsidRPr="001740BD">
        <w:rPr>
          <w:rFonts w:eastAsia="Calibri"/>
          <w:color w:val="000000" w:themeColor="text1"/>
          <w:lang w:eastAsia="en-US"/>
        </w:rPr>
        <w:t>бальнеолечения</w:t>
      </w:r>
      <w:proofErr w:type="spellEnd"/>
      <w:r w:rsidRPr="001740BD">
        <w:rPr>
          <w:rFonts w:eastAsia="Calibri"/>
          <w:color w:val="000000" w:themeColor="text1"/>
          <w:lang w:eastAsia="en-US"/>
        </w:rPr>
        <w:t xml:space="preserve"> и природного источника лечебной грязи в пределах 50 </w:t>
      </w:r>
      <w:r w:rsidRPr="001740BD">
        <w:rPr>
          <w:rFonts w:eastAsia="Calibri"/>
          <w:color w:val="000000" w:themeColor="text1"/>
          <w:lang w:eastAsia="en-US"/>
        </w:rPr>
        <w:t>километров от организации,</w:t>
      </w:r>
      <w:r w:rsidRPr="001740BD">
        <w:rPr>
          <w:rFonts w:eastAsia="Calibri"/>
          <w:color w:val="000000" w:themeColor="text1"/>
          <w:lang w:eastAsia="en-US"/>
        </w:rPr>
        <w:t xml:space="preserve"> и организация должна иметь право пользования этими минеральной </w:t>
      </w:r>
      <w:r w:rsidRPr="001740BD">
        <w:rPr>
          <w:rFonts w:eastAsia="Calibri"/>
          <w:color w:val="000000" w:themeColor="text1"/>
          <w:lang w:eastAsia="en-US"/>
        </w:rPr>
        <w:t>водой и</w:t>
      </w:r>
      <w:r w:rsidRPr="001740BD">
        <w:rPr>
          <w:rFonts w:eastAsia="Calibri"/>
          <w:color w:val="000000" w:themeColor="text1"/>
          <w:lang w:eastAsia="en-US"/>
        </w:rPr>
        <w:t xml:space="preserve"> лечебной грязью на правах собственности или на договорной основе. </w:t>
      </w:r>
    </w:p>
    <w:p w:rsidR="001740BD" w:rsidRPr="001740BD" w:rsidRDefault="001740BD" w:rsidP="001740BD">
      <w:pPr>
        <w:spacing w:line="360" w:lineRule="exact"/>
        <w:ind w:firstLine="709"/>
        <w:jc w:val="both"/>
        <w:rPr>
          <w:rFonts w:eastAsia="Calibri"/>
          <w:color w:val="000000" w:themeColor="text1"/>
          <w:lang w:eastAsia="en-US"/>
        </w:rPr>
      </w:pPr>
      <w:r w:rsidRPr="001740BD">
        <w:rPr>
          <w:rFonts w:eastAsia="Calibri"/>
          <w:color w:val="000000" w:themeColor="text1"/>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1740BD">
        <w:rPr>
          <w:rFonts w:eastAsia="Calibri"/>
          <w:color w:val="000000" w:themeColor="text1"/>
          <w:lang w:eastAsia="en-US"/>
        </w:rPr>
        <w:t>разноуровневые</w:t>
      </w:r>
      <w:proofErr w:type="spellEnd"/>
      <w:r w:rsidRPr="001740BD">
        <w:rPr>
          <w:rFonts w:eastAsia="Calibri"/>
          <w:color w:val="000000" w:themeColor="text1"/>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FB022F" w:rsidRPr="001740BD" w:rsidRDefault="00FB022F" w:rsidP="00B943CB">
      <w:pPr>
        <w:spacing w:after="120"/>
      </w:pPr>
      <w:bookmarkStart w:id="0" w:name="_GoBack"/>
      <w:bookmarkEnd w:id="0"/>
    </w:p>
    <w:sectPr w:rsidR="00FB022F" w:rsidRPr="001740BD"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8B" w:rsidRDefault="0027418B">
      <w:r>
        <w:separator/>
      </w:r>
    </w:p>
  </w:endnote>
  <w:endnote w:type="continuationSeparator" w:id="0">
    <w:p w:rsidR="0027418B" w:rsidRDefault="0027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8B" w:rsidRDefault="0027418B">
      <w:r>
        <w:separator/>
      </w:r>
    </w:p>
  </w:footnote>
  <w:footnote w:type="continuationSeparator" w:id="0">
    <w:p w:rsidR="0027418B" w:rsidRDefault="00274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F0419"/>
    <w:multiLevelType w:val="hybridMultilevel"/>
    <w:tmpl w:val="AC187E84"/>
    <w:lvl w:ilvl="0" w:tplc="EDFA4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4">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0">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9">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2">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6">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3">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0">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4">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8">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3">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5">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8">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02B0359"/>
    <w:multiLevelType w:val="hybridMultilevel"/>
    <w:tmpl w:val="25523180"/>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8">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9">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0">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2">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10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2"/>
  </w:num>
  <w:num w:numId="11">
    <w:abstractNumId w:val="87"/>
  </w:num>
  <w:num w:numId="12">
    <w:abstractNumId w:val="53"/>
  </w:num>
  <w:num w:numId="13">
    <w:abstractNumId w:val="33"/>
  </w:num>
  <w:num w:numId="14">
    <w:abstractNumId w:val="69"/>
  </w:num>
  <w:num w:numId="15">
    <w:abstractNumId w:val="100"/>
  </w:num>
  <w:num w:numId="16">
    <w:abstractNumId w:val="57"/>
  </w:num>
  <w:num w:numId="17">
    <w:abstractNumId w:val="17"/>
  </w:num>
  <w:num w:numId="18">
    <w:abstractNumId w:val="113"/>
  </w:num>
  <w:num w:numId="19">
    <w:abstractNumId w:val="40"/>
  </w:num>
  <w:num w:numId="20">
    <w:abstractNumId w:val="30"/>
  </w:num>
  <w:num w:numId="21">
    <w:abstractNumId w:val="67"/>
  </w:num>
  <w:num w:numId="22">
    <w:abstractNumId w:val="31"/>
  </w:num>
  <w:num w:numId="23">
    <w:abstractNumId w:val="24"/>
  </w:num>
  <w:num w:numId="24">
    <w:abstractNumId w:val="41"/>
  </w:num>
  <w:num w:numId="25">
    <w:abstractNumId w:val="110"/>
  </w:num>
  <w:num w:numId="26">
    <w:abstractNumId w:val="102"/>
  </w:num>
  <w:num w:numId="27">
    <w:abstractNumId w:val="66"/>
  </w:num>
  <w:num w:numId="28">
    <w:abstractNumId w:val="64"/>
  </w:num>
  <w:num w:numId="29">
    <w:abstractNumId w:val="46"/>
  </w:num>
  <w:num w:numId="30">
    <w:abstractNumId w:val="89"/>
  </w:num>
  <w:num w:numId="31">
    <w:abstractNumId w:val="55"/>
  </w:num>
  <w:num w:numId="32">
    <w:abstractNumId w:val="42"/>
  </w:num>
  <w:num w:numId="33">
    <w:abstractNumId w:val="71"/>
  </w:num>
  <w:num w:numId="34">
    <w:abstractNumId w:val="76"/>
  </w:num>
  <w:num w:numId="35">
    <w:abstractNumId w:val="101"/>
  </w:num>
  <w:num w:numId="36">
    <w:abstractNumId w:val="75"/>
  </w:num>
  <w:num w:numId="37">
    <w:abstractNumId w:val="61"/>
  </w:num>
  <w:num w:numId="38">
    <w:abstractNumId w:val="106"/>
  </w:num>
  <w:num w:numId="39">
    <w:abstractNumId w:val="43"/>
  </w:num>
  <w:num w:numId="40">
    <w:abstractNumId w:val="37"/>
  </w:num>
  <w:num w:numId="41">
    <w:abstractNumId w:val="79"/>
  </w:num>
  <w:num w:numId="42">
    <w:abstractNumId w:val="84"/>
  </w:num>
  <w:num w:numId="43">
    <w:abstractNumId w:val="18"/>
  </w:num>
  <w:num w:numId="44">
    <w:abstractNumId w:val="85"/>
  </w:num>
  <w:num w:numId="45">
    <w:abstractNumId w:val="47"/>
  </w:num>
  <w:num w:numId="46">
    <w:abstractNumId w:val="86"/>
  </w:num>
  <w:num w:numId="47">
    <w:abstractNumId w:val="22"/>
  </w:num>
  <w:num w:numId="48">
    <w:abstractNumId w:val="10"/>
  </w:num>
  <w:num w:numId="49">
    <w:abstractNumId w:val="63"/>
  </w:num>
  <w:num w:numId="50">
    <w:abstractNumId w:val="62"/>
  </w:num>
  <w:num w:numId="51">
    <w:abstractNumId w:val="97"/>
  </w:num>
  <w:num w:numId="52">
    <w:abstractNumId w:val="74"/>
  </w:num>
  <w:num w:numId="53">
    <w:abstractNumId w:val="34"/>
  </w:num>
  <w:num w:numId="54">
    <w:abstractNumId w:val="83"/>
  </w:num>
  <w:num w:numId="55">
    <w:abstractNumId w:val="91"/>
  </w:num>
  <w:num w:numId="56">
    <w:abstractNumId w:val="68"/>
  </w:num>
  <w:num w:numId="57">
    <w:abstractNumId w:val="49"/>
  </w:num>
  <w:num w:numId="58">
    <w:abstractNumId w:val="58"/>
  </w:num>
  <w:num w:numId="59">
    <w:abstractNumId w:val="107"/>
  </w:num>
  <w:num w:numId="60">
    <w:abstractNumId w:val="20"/>
  </w:num>
  <w:num w:numId="61">
    <w:abstractNumId w:val="104"/>
  </w:num>
  <w:num w:numId="62">
    <w:abstractNumId w:val="51"/>
  </w:num>
  <w:num w:numId="63">
    <w:abstractNumId w:val="65"/>
  </w:num>
  <w:num w:numId="64">
    <w:abstractNumId w:val="39"/>
  </w:num>
  <w:num w:numId="65">
    <w:abstractNumId w:val="96"/>
  </w:num>
  <w:num w:numId="66">
    <w:abstractNumId w:val="82"/>
  </w:num>
  <w:num w:numId="67">
    <w:abstractNumId w:val="60"/>
  </w:num>
  <w:num w:numId="68">
    <w:abstractNumId w:val="77"/>
  </w:num>
  <w:num w:numId="69">
    <w:abstractNumId w:val="29"/>
  </w:num>
  <w:num w:numId="70">
    <w:abstractNumId w:val="2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35"/>
  </w:num>
  <w:num w:numId="74">
    <w:abstractNumId w:val="45"/>
  </w:num>
  <w:num w:numId="75">
    <w:abstractNumId w:val="59"/>
  </w:num>
  <w:num w:numId="76">
    <w:abstractNumId w:val="99"/>
  </w:num>
  <w:num w:numId="77">
    <w:abstractNumId w:val="15"/>
  </w:num>
  <w:num w:numId="78">
    <w:abstractNumId w:val="93"/>
  </w:num>
  <w:num w:numId="79">
    <w:abstractNumId w:val="88"/>
  </w:num>
  <w:num w:numId="80">
    <w:abstractNumId w:val="19"/>
  </w:num>
  <w:num w:numId="81">
    <w:abstractNumId w:val="70"/>
  </w:num>
  <w:num w:numId="82">
    <w:abstractNumId w:val="94"/>
  </w:num>
  <w:num w:numId="83">
    <w:abstractNumId w:val="44"/>
  </w:num>
  <w:num w:numId="84">
    <w:abstractNumId w:val="109"/>
  </w:num>
  <w:num w:numId="85">
    <w:abstractNumId w:val="56"/>
  </w:num>
  <w:num w:numId="86">
    <w:abstractNumId w:val="50"/>
  </w:num>
  <w:num w:numId="87">
    <w:abstractNumId w:val="14"/>
  </w:num>
  <w:num w:numId="88">
    <w:abstractNumId w:val="72"/>
  </w:num>
  <w:num w:numId="89">
    <w:abstractNumId w:val="16"/>
  </w:num>
  <w:num w:numId="90">
    <w:abstractNumId w:val="23"/>
  </w:num>
  <w:num w:numId="91">
    <w:abstractNumId w:val="90"/>
  </w:num>
  <w:num w:numId="92">
    <w:abstractNumId w:val="78"/>
  </w:num>
  <w:num w:numId="93">
    <w:abstractNumId w:val="73"/>
  </w:num>
  <w:num w:numId="94">
    <w:abstractNumId w:val="81"/>
  </w:num>
  <w:num w:numId="95">
    <w:abstractNumId w:val="26"/>
  </w:num>
  <w:num w:numId="96">
    <w:abstractNumId w:val="111"/>
  </w:num>
  <w:num w:numId="97">
    <w:abstractNumId w:val="95"/>
  </w:num>
  <w:num w:numId="98">
    <w:abstractNumId w:val="108"/>
  </w:num>
  <w:num w:numId="99">
    <w:abstractNumId w:val="38"/>
  </w:num>
  <w:num w:numId="100">
    <w:abstractNumId w:val="48"/>
  </w:num>
  <w:num w:numId="101">
    <w:abstractNumId w:val="80"/>
  </w:num>
  <w:num w:numId="102">
    <w:abstractNumId w:val="92"/>
  </w:num>
  <w:num w:numId="103">
    <w:abstractNumId w:val="112"/>
  </w:num>
  <w:num w:numId="104">
    <w:abstractNumId w:val="36"/>
  </w:num>
  <w:num w:numId="105">
    <w:abstractNumId w:val="28"/>
  </w:num>
  <w:num w:numId="106">
    <w:abstractNumId w:val="25"/>
  </w:num>
  <w:num w:numId="107">
    <w:abstractNumId w:val="103"/>
  </w:num>
  <w:num w:numId="108">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ADB"/>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80B"/>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0BD"/>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18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5F19"/>
    <w:rsid w:val="002366EF"/>
    <w:rsid w:val="0023677D"/>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18B"/>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27A"/>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395"/>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9B3"/>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379"/>
    <w:rsid w:val="004966C1"/>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2A1"/>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1789A"/>
    <w:rsid w:val="006202CA"/>
    <w:rsid w:val="00620E5E"/>
    <w:rsid w:val="0062142F"/>
    <w:rsid w:val="00621B15"/>
    <w:rsid w:val="0062216A"/>
    <w:rsid w:val="0062299C"/>
    <w:rsid w:val="006246A5"/>
    <w:rsid w:val="006256CD"/>
    <w:rsid w:val="00625798"/>
    <w:rsid w:val="00625843"/>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3E"/>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CEF"/>
    <w:rsid w:val="006D4DD7"/>
    <w:rsid w:val="006D5E16"/>
    <w:rsid w:val="006D6454"/>
    <w:rsid w:val="006D6486"/>
    <w:rsid w:val="006D6713"/>
    <w:rsid w:val="006D6E5B"/>
    <w:rsid w:val="006D7A3D"/>
    <w:rsid w:val="006D7EA1"/>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23F"/>
    <w:rsid w:val="00704833"/>
    <w:rsid w:val="00704C05"/>
    <w:rsid w:val="00704E37"/>
    <w:rsid w:val="00704F93"/>
    <w:rsid w:val="007050D3"/>
    <w:rsid w:val="00705EAE"/>
    <w:rsid w:val="00706219"/>
    <w:rsid w:val="00706242"/>
    <w:rsid w:val="0070638E"/>
    <w:rsid w:val="00706720"/>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3C6"/>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804"/>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0BE4"/>
    <w:rsid w:val="00921C2B"/>
    <w:rsid w:val="009227BA"/>
    <w:rsid w:val="00922CFE"/>
    <w:rsid w:val="00923156"/>
    <w:rsid w:val="0092320F"/>
    <w:rsid w:val="00923406"/>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067"/>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0198"/>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481"/>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02D"/>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1E"/>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3CB"/>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8C2"/>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6AE5"/>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4FF5"/>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18C"/>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BFF"/>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460"/>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798"/>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3D2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B93B8-AEE1-4D36-9334-71D96A7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1"/>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0"/>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7"/>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2"/>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2"/>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2"/>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3"/>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7"/>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0"/>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1">
    <w:name w:val="Список 51"/>
    <w:rsid w:val="00E02D39"/>
    <w:pPr>
      <w:numPr>
        <w:numId w:val="59"/>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5"/>
      </w:numPr>
    </w:pPr>
  </w:style>
  <w:style w:type="numbering" w:customStyle="1" w:styleId="af1">
    <w:name w:val="**абв_список"/>
    <w:basedOn w:val="afa"/>
    <w:rsid w:val="00ED4D60"/>
    <w:pPr>
      <w:numPr>
        <w:numId w:val="66"/>
      </w:numPr>
    </w:pPr>
  </w:style>
  <w:style w:type="numbering" w:customStyle="1" w:styleId="aa">
    <w:name w:val="**Тире_список"/>
    <w:basedOn w:val="afa"/>
    <w:rsid w:val="00ED4D60"/>
    <w:pPr>
      <w:numPr>
        <w:numId w:val="67"/>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0"/>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1"/>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2"/>
      </w:numPr>
      <w:spacing w:before="40" w:after="40"/>
      <w:jc w:val="both"/>
    </w:pPr>
    <w:rPr>
      <w:w w:val="101"/>
      <w:lang w:eastAsia="ar-SA"/>
    </w:rPr>
  </w:style>
  <w:style w:type="paragraph" w:customStyle="1" w:styleId="25">
    <w:name w:val="Список_2"/>
    <w:basedOn w:val="af7"/>
    <w:uiPriority w:val="99"/>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4"/>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7"/>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7">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5">
    <w:name w:val="Стиль Заголовки1"/>
    <w:rsid w:val="009A43AC"/>
    <w:pPr>
      <w:numPr>
        <w:numId w:val="75"/>
      </w:numPr>
    </w:pPr>
  </w:style>
  <w:style w:type="numbering" w:customStyle="1" w:styleId="310">
    <w:name w:val="Стиль31"/>
    <w:rsid w:val="009A43AC"/>
    <w:pPr>
      <w:numPr>
        <w:numId w:val="84"/>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22B5-6F63-47FF-9AC3-475BD2ED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2019-06-13T13:51:00Z</cp:lastPrinted>
  <dcterms:created xsi:type="dcterms:W3CDTF">2021-12-08T09:25:00Z</dcterms:created>
  <dcterms:modified xsi:type="dcterms:W3CDTF">2021-12-08T09:25:00Z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