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Pr="00544C09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544C09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544C09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 w:rsidRPr="00544C09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="00D75E8A" w:rsidRPr="00544C09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D13916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544C09">
        <w:rPr>
          <w:rFonts w:ascii="Times New Roman" w:hAnsi="Times New Roman" w:cs="Times New Roman"/>
          <w:b/>
          <w:color w:val="000000"/>
        </w:rPr>
        <w:t>ЭА.</w:t>
      </w:r>
      <w:r w:rsidR="00544C09" w:rsidRPr="00544C09">
        <w:rPr>
          <w:rFonts w:ascii="Times New Roman" w:hAnsi="Times New Roman" w:cs="Times New Roman"/>
          <w:b/>
          <w:color w:val="000000"/>
        </w:rPr>
        <w:t>126</w:t>
      </w:r>
      <w:r w:rsidRPr="00544C09">
        <w:rPr>
          <w:rFonts w:ascii="Times New Roman" w:hAnsi="Times New Roman" w:cs="Times New Roman"/>
          <w:b/>
          <w:color w:val="000000"/>
        </w:rPr>
        <w:t>-2</w:t>
      </w:r>
      <w:r w:rsidR="00445AAC" w:rsidRPr="00544C09">
        <w:rPr>
          <w:rFonts w:ascii="Times New Roman" w:hAnsi="Times New Roman" w:cs="Times New Roman"/>
          <w:b/>
          <w:color w:val="000000"/>
        </w:rPr>
        <w:t>3</w:t>
      </w:r>
    </w:p>
    <w:p w:rsidR="00024883" w:rsidRPr="00544C09" w:rsidRDefault="00024883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D6E01" w:rsidRDefault="000F7E24" w:rsidP="000248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44C09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544C09" w:rsidRPr="00544C09">
        <w:rPr>
          <w:rFonts w:ascii="Times New Roman" w:eastAsia="Calibri" w:hAnsi="Times New Roman" w:cs="Times New Roman"/>
          <w:b/>
        </w:rPr>
        <w:t>На выполнение работ по обеспечению в 2024 году туторами</w:t>
      </w:r>
    </w:p>
    <w:p w:rsidR="00024883" w:rsidRPr="00544C09" w:rsidRDefault="00024883" w:rsidP="000248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026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2479"/>
        <w:gridCol w:w="992"/>
      </w:tblGrid>
      <w:tr w:rsidR="00544C09" w:rsidRPr="00544C09" w:rsidTr="00024883">
        <w:trPr>
          <w:trHeight w:val="4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C09">
              <w:rPr>
                <w:rFonts w:ascii="Times New Roman" w:hAnsi="Times New Roman" w:cs="Times New Roman"/>
                <w:b/>
              </w:rPr>
              <w:t xml:space="preserve">Наименование  </w:t>
            </w:r>
          </w:p>
        </w:tc>
        <w:tc>
          <w:tcPr>
            <w:tcW w:w="1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C09">
              <w:rPr>
                <w:rFonts w:ascii="Times New Roman" w:hAnsi="Times New Roman" w:cs="Times New Roman"/>
                <w:b/>
              </w:rPr>
              <w:t>Описание технических и функциональных характеристик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C09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544C09" w:rsidRPr="00544C09" w:rsidTr="00024883">
        <w:trPr>
          <w:trHeight w:val="4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09" w:rsidRPr="00544C09" w:rsidRDefault="00544C09" w:rsidP="00526D15">
            <w:pPr>
              <w:rPr>
                <w:rFonts w:ascii="Times New Roman" w:hAnsi="Times New Roman" w:cs="Times New Roman"/>
                <w:color w:val="000000"/>
              </w:rPr>
            </w:pPr>
            <w:r w:rsidRPr="00544C09">
              <w:rPr>
                <w:rFonts w:ascii="Times New Roman" w:hAnsi="Times New Roman" w:cs="Times New Roman"/>
                <w:lang w:eastAsia="zh-CN"/>
              </w:rPr>
              <w:t>Тутор на голеностопный сустав</w:t>
            </w:r>
          </w:p>
        </w:tc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Тутор на голеностопный сустав должен быть предназначен для удержания стопы в корригируемом положении или для обеспечения высокой стабилизации голеностопного сустава с ограничением пронации и супинации, без влияния на тыльное и подошвенное сгибание.</w:t>
            </w:r>
          </w:p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Должен быть изготовлен из листового полиэтилена, количество рамок – не менее 4 шт., элементов крепления или эластичных прочных пластиковых шин специальной формы, шнуровки и дополнительных фиксирующих лент с застежкой – «</w:t>
            </w:r>
            <w:proofErr w:type="spellStart"/>
            <w:r w:rsidRPr="00544C09">
              <w:rPr>
                <w:rFonts w:ascii="Times New Roman" w:hAnsi="Times New Roman" w:cs="Times New Roman"/>
              </w:rPr>
              <w:t>велькро</w:t>
            </w:r>
            <w:proofErr w:type="spellEnd"/>
            <w:r w:rsidRPr="00544C09">
              <w:rPr>
                <w:rFonts w:ascii="Times New Roman" w:hAnsi="Times New Roman" w:cs="Times New Roman"/>
              </w:rPr>
              <w:t>», вкладного полусинтетического материала с трехмерной ячеистой структурой: «дышащей», не сминающейся, выводящей влагу наружу. Изготовление должно быть по слепку или по обмерам. Назначение: постоянное.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09" w:rsidRPr="00544C09" w:rsidRDefault="00544C09" w:rsidP="00526D15">
            <w:pPr>
              <w:jc w:val="center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85</w:t>
            </w:r>
          </w:p>
        </w:tc>
      </w:tr>
      <w:tr w:rsidR="00544C09" w:rsidRPr="00544C09" w:rsidTr="00024883">
        <w:trPr>
          <w:trHeight w:val="18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09" w:rsidRPr="00544C09" w:rsidRDefault="00544C09" w:rsidP="00526D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44C09">
              <w:rPr>
                <w:rFonts w:ascii="Times New Roman" w:hAnsi="Times New Roman" w:cs="Times New Roman"/>
                <w:lang w:eastAsia="zh-CN"/>
              </w:rPr>
              <w:t>Тутор на коленный сустав</w:t>
            </w:r>
          </w:p>
        </w:tc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 xml:space="preserve">Тутор на коленный сустав должен быть предназначен для иммобилизации коленного сустава в разогнутом положении и под углом 20 град. с захватом нижней трети бедра и верхней трети голени, для создания боковой поддержки, с захватом голени и бедра предназначен для иммобилизации в заданном положении коленного сустава. </w:t>
            </w:r>
          </w:p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 xml:space="preserve">Должен быть изготовлен из легкого </w:t>
            </w:r>
            <w:proofErr w:type="spellStart"/>
            <w:r w:rsidRPr="00544C09">
              <w:rPr>
                <w:rFonts w:ascii="Times New Roman" w:hAnsi="Times New Roman" w:cs="Times New Roman"/>
              </w:rPr>
              <w:t>термоформируемого</w:t>
            </w:r>
            <w:proofErr w:type="spellEnd"/>
            <w:r w:rsidRPr="00544C09">
              <w:rPr>
                <w:rFonts w:ascii="Times New Roman" w:hAnsi="Times New Roman" w:cs="Times New Roman"/>
              </w:rPr>
              <w:t xml:space="preserve"> пластика, подкладки из хлопка. Фиксация должна быть ремнями с застежкой «</w:t>
            </w:r>
            <w:proofErr w:type="spellStart"/>
            <w:r w:rsidRPr="00544C09">
              <w:rPr>
                <w:rFonts w:ascii="Times New Roman" w:hAnsi="Times New Roman" w:cs="Times New Roman"/>
              </w:rPr>
              <w:t>велькро</w:t>
            </w:r>
            <w:proofErr w:type="spellEnd"/>
            <w:r w:rsidRPr="00544C09">
              <w:rPr>
                <w:rFonts w:ascii="Times New Roman" w:hAnsi="Times New Roman" w:cs="Times New Roman"/>
              </w:rPr>
              <w:t>» - не менее 6 шт., листового полиэтилена, рамок - 4 шт., элементов крепления. Изготовление должно быть индивидуальное, по обмерам или по слепку. Назначение: постоянное.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09" w:rsidRPr="00544C09" w:rsidRDefault="00544C09" w:rsidP="00526D15">
            <w:pPr>
              <w:jc w:val="center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65</w:t>
            </w:r>
          </w:p>
        </w:tc>
      </w:tr>
      <w:tr w:rsidR="00544C09" w:rsidRPr="00544C09" w:rsidTr="00024883">
        <w:trPr>
          <w:trHeight w:val="6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44C09" w:rsidRPr="00544C09" w:rsidRDefault="00544C09" w:rsidP="00526D15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44C09" w:rsidRPr="00544C09" w:rsidRDefault="00544C09" w:rsidP="00526D15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544C09">
              <w:rPr>
                <w:rFonts w:ascii="Times New Roman" w:hAnsi="Times New Roman" w:cs="Times New Roman"/>
                <w:lang w:eastAsia="zh-CN"/>
              </w:rPr>
              <w:t>Тутор на тазобедренный сустав</w:t>
            </w:r>
          </w:p>
          <w:p w:rsidR="00544C09" w:rsidRPr="00544C09" w:rsidRDefault="00544C09" w:rsidP="00526D15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 xml:space="preserve">Тутор на тазобедренный сустав должен быть предназначен для обеспечения неподвижности тазобедренного сустава и реабилитации после </w:t>
            </w:r>
            <w:proofErr w:type="spellStart"/>
            <w:r w:rsidRPr="00544C09">
              <w:rPr>
                <w:rFonts w:ascii="Times New Roman" w:hAnsi="Times New Roman" w:cs="Times New Roman"/>
              </w:rPr>
              <w:t>эндопротезирования</w:t>
            </w:r>
            <w:proofErr w:type="spellEnd"/>
            <w:r w:rsidRPr="00544C09">
              <w:rPr>
                <w:rFonts w:ascii="Times New Roman" w:hAnsi="Times New Roman" w:cs="Times New Roman"/>
              </w:rPr>
              <w:t xml:space="preserve"> или травм тазобедренной кости для фиксации, отведения и ограничения движения в суставе.</w:t>
            </w:r>
          </w:p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4C09">
              <w:rPr>
                <w:rFonts w:ascii="Times New Roman" w:hAnsi="Times New Roman" w:cs="Times New Roman"/>
              </w:rPr>
              <w:t>Ортез</w:t>
            </w:r>
            <w:proofErr w:type="spellEnd"/>
            <w:r w:rsidRPr="00544C09">
              <w:rPr>
                <w:rFonts w:ascii="Times New Roman" w:hAnsi="Times New Roman" w:cs="Times New Roman"/>
              </w:rPr>
              <w:t xml:space="preserve"> (тутор) может быть односторонним/ двусторонним, имеющим одну/две жесткие шины для фиксации сустава с одной /двух сторон. Может иметь замковый/</w:t>
            </w:r>
            <w:proofErr w:type="spellStart"/>
            <w:r w:rsidRPr="00544C09">
              <w:rPr>
                <w:rFonts w:ascii="Times New Roman" w:hAnsi="Times New Roman" w:cs="Times New Roman"/>
              </w:rPr>
              <w:t>беззамковый</w:t>
            </w:r>
            <w:proofErr w:type="spellEnd"/>
            <w:r w:rsidRPr="00544C09">
              <w:rPr>
                <w:rFonts w:ascii="Times New Roman" w:hAnsi="Times New Roman" w:cs="Times New Roman"/>
              </w:rPr>
              <w:t xml:space="preserve"> шарнир для дальнейшей иммобилизации и реабилитации пациента. </w:t>
            </w:r>
          </w:p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Должен состоять из прочного стального материала (шины, замки), внутренняя часть должна состоять из формованного термопласта (может быть продублирован материалом/поролоном в местах соприкосновения с кожей по желанию заказчика). Фиксация должна быть стропами из ленты «</w:t>
            </w:r>
            <w:proofErr w:type="spellStart"/>
            <w:r w:rsidRPr="00544C09">
              <w:rPr>
                <w:rFonts w:ascii="Times New Roman" w:hAnsi="Times New Roman" w:cs="Times New Roman"/>
              </w:rPr>
              <w:t>велькро</w:t>
            </w:r>
            <w:proofErr w:type="spellEnd"/>
            <w:r w:rsidRPr="00544C09">
              <w:rPr>
                <w:rFonts w:ascii="Times New Roman" w:hAnsi="Times New Roman" w:cs="Times New Roman"/>
              </w:rPr>
              <w:t>».</w:t>
            </w:r>
          </w:p>
          <w:p w:rsidR="00544C09" w:rsidRPr="00544C09" w:rsidRDefault="00544C09" w:rsidP="00526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Изготовление должно быть индивидуальное, по слепкам, а также максимальной готовности по типоразмерам. Назначение: постоянное на период реабилитации.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09" w:rsidRPr="00544C09" w:rsidRDefault="00544C09" w:rsidP="00526D15">
            <w:pPr>
              <w:jc w:val="center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8</w:t>
            </w:r>
          </w:p>
        </w:tc>
      </w:tr>
      <w:tr w:rsidR="00544C09" w:rsidRPr="00544C09" w:rsidTr="00024883">
        <w:trPr>
          <w:trHeight w:val="15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C09" w:rsidRPr="00544C09" w:rsidRDefault="00544C09" w:rsidP="00526D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44C09">
              <w:rPr>
                <w:rFonts w:ascii="Times New Roman" w:hAnsi="Times New Roman" w:cs="Times New Roman"/>
                <w:lang w:eastAsia="zh-CN"/>
              </w:rPr>
              <w:lastRenderedPageBreak/>
              <w:t>Тутор на всю ногу</w:t>
            </w:r>
          </w:p>
        </w:tc>
        <w:tc>
          <w:tcPr>
            <w:tcW w:w="1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Тутор на всю ногу должен быть предназначен для иммобилизации в заданном положении нижней конечности.</w:t>
            </w:r>
          </w:p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 xml:space="preserve"> Тутор должен быть изготовлен из пластика в зависимости от медицинских показаний получателя. Может иметь перфорацию для обеспечения вентиляции кожи. Внутренняя поверхность тутора может быть отделана мягким вспененным материалом по медицинским показаниям получателя. Фиксация тутора должна осуществляться с помощью застежек из контактной ленты, шнуровки. Изготовление должно осуществляться по индивидуальным слепкам.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C09" w:rsidRPr="00544C09" w:rsidRDefault="00544C09" w:rsidP="00526D15">
            <w:pPr>
              <w:jc w:val="center"/>
              <w:rPr>
                <w:rFonts w:ascii="Times New Roman" w:hAnsi="Times New Roman" w:cs="Times New Roman"/>
              </w:rPr>
            </w:pPr>
            <w:r w:rsidRPr="00544C09">
              <w:rPr>
                <w:rFonts w:ascii="Times New Roman" w:hAnsi="Times New Roman" w:cs="Times New Roman"/>
              </w:rPr>
              <w:t>20</w:t>
            </w:r>
          </w:p>
        </w:tc>
      </w:tr>
      <w:tr w:rsidR="00544C09" w:rsidRPr="00544C09" w:rsidTr="00024883">
        <w:trPr>
          <w:trHeight w:val="4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rPr>
                <w:rFonts w:ascii="Times New Roman" w:hAnsi="Times New Roman" w:cs="Times New Roman"/>
                <w:b/>
              </w:rPr>
            </w:pPr>
            <w:r w:rsidRPr="00544C0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9" w:rsidRPr="00544C09" w:rsidRDefault="00544C09" w:rsidP="00526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9" w:rsidRPr="00544C09" w:rsidRDefault="00544C09" w:rsidP="00544C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4C09">
              <w:rPr>
                <w:rFonts w:ascii="Times New Roman" w:hAnsi="Times New Roman" w:cs="Times New Roman"/>
                <w:b/>
              </w:rPr>
              <w:t>178</w:t>
            </w:r>
          </w:p>
        </w:tc>
      </w:tr>
    </w:tbl>
    <w:p w:rsidR="00EB7BDB" w:rsidRPr="00EB7BDB" w:rsidRDefault="00EB7BDB" w:rsidP="00EB7BDB">
      <w:pPr>
        <w:pStyle w:val="af"/>
        <w:suppressLineNumbers w:val="0"/>
        <w:spacing w:line="240" w:lineRule="auto"/>
        <w:ind w:firstLine="709"/>
        <w:jc w:val="both"/>
        <w:rPr>
          <w:bCs w:val="0"/>
          <w:color w:val="000000"/>
        </w:rPr>
      </w:pPr>
      <w:r w:rsidRPr="00EB7BDB">
        <w:rPr>
          <w:bCs w:val="0"/>
          <w:color w:val="000000"/>
        </w:rPr>
        <w:t>Требования к качеству работ:</w:t>
      </w:r>
    </w:p>
    <w:p w:rsidR="00EB7BDB" w:rsidRPr="00EB7BDB" w:rsidRDefault="00EB7BDB" w:rsidP="00EB7BDB">
      <w:pPr>
        <w:ind w:firstLine="709"/>
        <w:jc w:val="both"/>
        <w:rPr>
          <w:rFonts w:ascii="Times New Roman" w:hAnsi="Times New Roman" w:cs="Times New Roman"/>
        </w:rPr>
      </w:pPr>
      <w:r w:rsidRPr="00EB7BDB">
        <w:rPr>
          <w:rFonts w:ascii="Times New Roman" w:hAnsi="Times New Roman" w:cs="Times New Roman"/>
        </w:rPr>
        <w:t xml:space="preserve">Туторы должны соответствовать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ГОСТ Р 52770-2016 «Изделия медицинские. Требования безопасности. Методы санитарно-химических и токсикологических испытаний». ГОСТ ИСО 10993-1-2021 "Изделия медицинские. Оценка биологического действия медицинских изделий. Часть 1. Оценка и исследования в процессе менеджмента риска", ГОСТ ИСО 10993-5-2011 "Изделия медицинские. Оценка биологического действия медицинских изделий. Часть 5. Исследования на </w:t>
      </w:r>
      <w:proofErr w:type="spellStart"/>
      <w:r w:rsidRPr="00EB7BDB">
        <w:rPr>
          <w:rFonts w:ascii="Times New Roman" w:hAnsi="Times New Roman" w:cs="Times New Roman"/>
        </w:rPr>
        <w:t>цитотоксичность</w:t>
      </w:r>
      <w:proofErr w:type="spellEnd"/>
      <w:r w:rsidRPr="00EB7BDB">
        <w:rPr>
          <w:rFonts w:ascii="Times New Roman" w:hAnsi="Times New Roman" w:cs="Times New Roman"/>
        </w:rPr>
        <w:t xml:space="preserve">: методы </w:t>
      </w:r>
      <w:proofErr w:type="spellStart"/>
      <w:r w:rsidRPr="00EB7BDB">
        <w:rPr>
          <w:rFonts w:ascii="Times New Roman" w:hAnsi="Times New Roman" w:cs="Times New Roman"/>
        </w:rPr>
        <w:t>in</w:t>
      </w:r>
      <w:proofErr w:type="spellEnd"/>
      <w:r w:rsidRPr="00EB7BDB">
        <w:rPr>
          <w:rFonts w:ascii="Times New Roman" w:hAnsi="Times New Roman" w:cs="Times New Roman"/>
        </w:rPr>
        <w:t xml:space="preserve"> </w:t>
      </w:r>
      <w:proofErr w:type="spellStart"/>
      <w:r w:rsidRPr="00EB7BDB">
        <w:rPr>
          <w:rFonts w:ascii="Times New Roman" w:hAnsi="Times New Roman" w:cs="Times New Roman"/>
        </w:rPr>
        <w:t>vitro</w:t>
      </w:r>
      <w:proofErr w:type="spellEnd"/>
      <w:r w:rsidRPr="00EB7BDB">
        <w:rPr>
          <w:rFonts w:ascii="Times New Roman" w:hAnsi="Times New Roman" w:cs="Times New Roman"/>
        </w:rPr>
        <w:t xml:space="preserve">", ГОСТ ИСО 10993-10-2011 "Изделия медицинские. Оценка биологического действия медицинских изделий. Часть 10. Исследования раздражающего и сенсибилизирующего действия". ГОСТ Р ИСО 22523-2007 «Протезы конечностей и </w:t>
      </w:r>
      <w:proofErr w:type="spellStart"/>
      <w:r w:rsidRPr="00EB7BDB">
        <w:rPr>
          <w:rFonts w:ascii="Times New Roman" w:hAnsi="Times New Roman" w:cs="Times New Roman"/>
        </w:rPr>
        <w:t>ортезы</w:t>
      </w:r>
      <w:proofErr w:type="spellEnd"/>
      <w:r w:rsidRPr="00EB7BDB">
        <w:rPr>
          <w:rFonts w:ascii="Times New Roman" w:hAnsi="Times New Roman" w:cs="Times New Roman"/>
        </w:rPr>
        <w:t xml:space="preserve"> наружные. Требования и методы испытаний», ГОСТ Р 51819-2022 «Протезирование и </w:t>
      </w:r>
      <w:proofErr w:type="spellStart"/>
      <w:r w:rsidRPr="00EB7BDB">
        <w:rPr>
          <w:rFonts w:ascii="Times New Roman" w:hAnsi="Times New Roman" w:cs="Times New Roman"/>
        </w:rPr>
        <w:t>ортезирование</w:t>
      </w:r>
      <w:proofErr w:type="spellEnd"/>
      <w:r w:rsidRPr="00EB7BDB">
        <w:rPr>
          <w:rFonts w:ascii="Times New Roman" w:hAnsi="Times New Roman" w:cs="Times New Roman"/>
        </w:rPr>
        <w:t xml:space="preserve"> верхних и нижних конечностей. Термины и определения».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>Исполнитель должен: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</w:t>
      </w:r>
      <w:r w:rsidRPr="00EB7BDB">
        <w:rPr>
          <w:rFonts w:ascii="Times New Roman" w:hAnsi="Times New Roman" w:cs="Times New Roman"/>
        </w:rPr>
        <w:t xml:space="preserve"> </w:t>
      </w:r>
      <w:r w:rsidRPr="00EB7BDB">
        <w:rPr>
          <w:rFonts w:ascii="Times New Roman" w:eastAsia="Lucida Sans Unicode" w:hAnsi="Times New Roman" w:cs="Times New Roman"/>
        </w:rPr>
        <w:t>электронной почты;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EB7BDB">
        <w:rPr>
          <w:rFonts w:ascii="Times New Roman" w:eastAsia="Lucida Sans Unicode" w:hAnsi="Times New Roman" w:cs="Times New Roman"/>
        </w:rPr>
        <w:t>т.п</w:t>
      </w:r>
      <w:proofErr w:type="spellEnd"/>
      <w:r w:rsidRPr="00EB7BDB">
        <w:rPr>
          <w:rFonts w:ascii="Times New Roman" w:eastAsia="Lucida Sans Unicode" w:hAnsi="Times New Roman" w:cs="Times New Roman"/>
        </w:rPr>
        <w:t>;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>- 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>-</w:t>
      </w:r>
      <w:r w:rsidRPr="00EB7BDB">
        <w:rPr>
          <w:rFonts w:ascii="Times New Roman" w:hAnsi="Times New Roman" w:cs="Times New Roman"/>
        </w:rPr>
        <w:t xml:space="preserve"> о</w:t>
      </w:r>
      <w:r w:rsidRPr="00EB7BDB">
        <w:rPr>
          <w:rFonts w:ascii="Times New Roman" w:eastAsia="Lucida Sans Unicode" w:hAnsi="Times New Roman" w:cs="Times New Roman"/>
        </w:rPr>
        <w:t>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EB7BDB">
        <w:rPr>
          <w:rFonts w:ascii="Times New Roman" w:eastAsia="Lucida Sans Unicode" w:hAnsi="Times New Roman" w:cs="Times New Roman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EB7BDB">
        <w:rPr>
          <w:rFonts w:ascii="Times New Roman" w:eastAsia="Lucida Sans Unicode" w:hAnsi="Times New Roman" w:cs="Times New Roman"/>
          <w:color w:val="000000"/>
        </w:rPr>
        <w:t xml:space="preserve"> Исполнитель должен изготовить туторы, удовлетворяющие следующим требованиям: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EB7BDB">
        <w:rPr>
          <w:rFonts w:ascii="Times New Roman" w:eastAsia="Lucida Sans Unicode" w:hAnsi="Times New Roman" w:cs="Times New Roman"/>
          <w:color w:val="000000"/>
        </w:rPr>
        <w:lastRenderedPageBreak/>
        <w:t>- не должно создаваться угрозы для жизни и здоровья Получателя;</w:t>
      </w:r>
    </w:p>
    <w:p w:rsidR="00EB7BDB" w:rsidRPr="00EB7BDB" w:rsidRDefault="00EB7BDB" w:rsidP="00EB7BDB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EB7BDB">
        <w:rPr>
          <w:rFonts w:ascii="Times New Roman" w:eastAsia="Lucida Sans Unicode" w:hAnsi="Times New Roman" w:cs="Times New Roman"/>
          <w:color w:val="000000"/>
        </w:rPr>
        <w:t>- материалы, применяемые для изготовления,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при его нормальной эксплуатации;</w:t>
      </w:r>
    </w:p>
    <w:p w:rsidR="00EB7BDB" w:rsidRPr="00EB7BDB" w:rsidRDefault="00EB7BDB" w:rsidP="00EB7BDB">
      <w:pPr>
        <w:spacing w:line="228" w:lineRule="auto"/>
        <w:ind w:left="56"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EB7BDB">
        <w:rPr>
          <w:rFonts w:ascii="Times New Roman" w:eastAsia="Lucida Sans Unicode" w:hAnsi="Times New Roman" w:cs="Times New Roman"/>
          <w:color w:val="000000"/>
        </w:rPr>
        <w:t>- туторы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EB7BDB" w:rsidRPr="00EB7BDB" w:rsidRDefault="00EB7BDB" w:rsidP="00EB7BDB">
      <w:pPr>
        <w:spacing w:line="228" w:lineRule="auto"/>
        <w:ind w:left="5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EB7BDB">
        <w:rPr>
          <w:rFonts w:ascii="Times New Roman" w:hAnsi="Times New Roman" w:cs="Times New Roman"/>
          <w:b/>
          <w:bCs/>
          <w:color w:val="000000"/>
          <w:spacing w:val="-1"/>
        </w:rPr>
        <w:t>Срок гарантии:</w:t>
      </w:r>
    </w:p>
    <w:p w:rsidR="00EB7BDB" w:rsidRPr="00EB7BDB" w:rsidRDefault="00EB7BDB" w:rsidP="00EB7BDB">
      <w:pPr>
        <w:spacing w:line="228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EB7BDB">
        <w:rPr>
          <w:rFonts w:ascii="Times New Roman" w:hAnsi="Times New Roman" w:cs="Times New Roman"/>
          <w:bCs/>
          <w:color w:val="000000"/>
          <w:spacing w:val="-1"/>
        </w:rPr>
        <w:t xml:space="preserve">- тутор на голеностопный сустав </w:t>
      </w:r>
      <w:r w:rsidR="00951F91" w:rsidRPr="00EB7BDB">
        <w:rPr>
          <w:rFonts w:ascii="Times New Roman" w:hAnsi="Times New Roman" w:cs="Times New Roman"/>
          <w:bCs/>
          <w:color w:val="000000"/>
          <w:spacing w:val="-1"/>
        </w:rPr>
        <w:t>– 6</w:t>
      </w:r>
      <w:r w:rsidRPr="00EB7BDB">
        <w:rPr>
          <w:rFonts w:ascii="Times New Roman" w:hAnsi="Times New Roman" w:cs="Times New Roman"/>
          <w:bCs/>
          <w:color w:val="000000"/>
          <w:spacing w:val="-1"/>
        </w:rPr>
        <w:t xml:space="preserve"> месяцев;</w:t>
      </w:r>
    </w:p>
    <w:p w:rsidR="00EB7BDB" w:rsidRPr="00EB7BDB" w:rsidRDefault="00EB7BDB" w:rsidP="00EB7BDB">
      <w:pPr>
        <w:pStyle w:val="ac"/>
        <w:spacing w:after="0"/>
        <w:rPr>
          <w:rFonts w:ascii="Times New Roman" w:hAnsi="Times New Roman" w:cs="Times New Roman"/>
          <w:lang w:eastAsia="ru-RU"/>
        </w:rPr>
      </w:pPr>
      <w:r w:rsidRPr="00EB7BDB">
        <w:rPr>
          <w:rFonts w:ascii="Times New Roman" w:eastAsia="Lucida Sans Unicode" w:hAnsi="Times New Roman" w:cs="Times New Roman"/>
        </w:rPr>
        <w:t xml:space="preserve">- </w:t>
      </w:r>
      <w:r w:rsidRPr="00EB7BDB">
        <w:rPr>
          <w:rFonts w:ascii="Times New Roman" w:eastAsia="Calibri" w:hAnsi="Times New Roman" w:cs="Times New Roman"/>
        </w:rPr>
        <w:t>тутор на коленный сустав</w:t>
      </w:r>
      <w:r w:rsidRPr="00EB7BDB">
        <w:rPr>
          <w:rFonts w:ascii="Times New Roman" w:hAnsi="Times New Roman" w:cs="Times New Roman"/>
          <w:lang w:eastAsia="ru-RU"/>
        </w:rPr>
        <w:t xml:space="preserve"> – </w:t>
      </w:r>
      <w:r w:rsidRPr="00EB7BDB">
        <w:rPr>
          <w:rFonts w:ascii="Times New Roman" w:hAnsi="Times New Roman" w:cs="Times New Roman"/>
        </w:rPr>
        <w:t>6</w:t>
      </w:r>
      <w:r w:rsidRPr="00EB7BDB">
        <w:rPr>
          <w:rFonts w:ascii="Times New Roman" w:hAnsi="Times New Roman" w:cs="Times New Roman"/>
          <w:color w:val="000000"/>
          <w:spacing w:val="-1"/>
        </w:rPr>
        <w:t xml:space="preserve"> месяцев;</w:t>
      </w:r>
    </w:p>
    <w:p w:rsidR="00EB7BDB" w:rsidRPr="00EB7BDB" w:rsidRDefault="00EB7BDB" w:rsidP="00EB7BDB">
      <w:pPr>
        <w:pStyle w:val="ac"/>
        <w:spacing w:after="0"/>
        <w:rPr>
          <w:rFonts w:ascii="Times New Roman" w:hAnsi="Times New Roman" w:cs="Times New Roman"/>
          <w:color w:val="000000"/>
          <w:spacing w:val="-1"/>
          <w:lang w:eastAsia="ar-SA"/>
        </w:rPr>
      </w:pPr>
      <w:r w:rsidRPr="00EB7BDB">
        <w:rPr>
          <w:rFonts w:ascii="Times New Roman" w:hAnsi="Times New Roman" w:cs="Times New Roman"/>
          <w:lang w:eastAsia="ru-RU"/>
        </w:rPr>
        <w:t xml:space="preserve">- </w:t>
      </w:r>
      <w:r w:rsidRPr="00EB7BDB">
        <w:rPr>
          <w:rFonts w:ascii="Times New Roman" w:eastAsia="Calibri" w:hAnsi="Times New Roman" w:cs="Times New Roman"/>
        </w:rPr>
        <w:t>тутор на тазобедренный сустав</w:t>
      </w:r>
      <w:r w:rsidRPr="00EB7BDB">
        <w:rPr>
          <w:rFonts w:ascii="Times New Roman" w:hAnsi="Times New Roman" w:cs="Times New Roman"/>
          <w:lang w:eastAsia="ru-RU"/>
        </w:rPr>
        <w:t xml:space="preserve"> – </w:t>
      </w:r>
      <w:r w:rsidRPr="00EB7BDB">
        <w:rPr>
          <w:rFonts w:ascii="Times New Roman" w:hAnsi="Times New Roman" w:cs="Times New Roman"/>
        </w:rPr>
        <w:t>6</w:t>
      </w:r>
      <w:r w:rsidRPr="00EB7BDB">
        <w:rPr>
          <w:rFonts w:ascii="Times New Roman" w:hAnsi="Times New Roman" w:cs="Times New Roman"/>
          <w:color w:val="000000"/>
          <w:spacing w:val="-1"/>
        </w:rPr>
        <w:t xml:space="preserve"> месяцев;</w:t>
      </w:r>
    </w:p>
    <w:p w:rsidR="00EB7BDB" w:rsidRPr="00EB7BDB" w:rsidRDefault="00EB7BDB" w:rsidP="00EB7BDB">
      <w:pPr>
        <w:pStyle w:val="ac"/>
        <w:spacing w:after="0"/>
        <w:rPr>
          <w:rFonts w:ascii="Times New Roman" w:hAnsi="Times New Roman" w:cs="Times New Roman"/>
          <w:color w:val="000000"/>
          <w:spacing w:val="-1"/>
        </w:rPr>
      </w:pPr>
      <w:r w:rsidRPr="00EB7BDB">
        <w:rPr>
          <w:rFonts w:ascii="Times New Roman" w:hAnsi="Times New Roman" w:cs="Times New Roman"/>
          <w:lang w:eastAsia="ru-RU"/>
        </w:rPr>
        <w:t xml:space="preserve">- </w:t>
      </w:r>
      <w:r w:rsidRPr="00EB7BDB">
        <w:rPr>
          <w:rFonts w:ascii="Times New Roman" w:eastAsia="Calibri" w:hAnsi="Times New Roman" w:cs="Times New Roman"/>
        </w:rPr>
        <w:t>тутор на всю ногу</w:t>
      </w:r>
      <w:r w:rsidRPr="00EB7BDB">
        <w:rPr>
          <w:rFonts w:ascii="Times New Roman" w:hAnsi="Times New Roman" w:cs="Times New Roman"/>
          <w:lang w:eastAsia="ru-RU"/>
        </w:rPr>
        <w:t xml:space="preserve"> – </w:t>
      </w:r>
      <w:r w:rsidRPr="00EB7BDB">
        <w:rPr>
          <w:rFonts w:ascii="Times New Roman" w:hAnsi="Times New Roman" w:cs="Times New Roman"/>
        </w:rPr>
        <w:t>6</w:t>
      </w:r>
      <w:r w:rsidRPr="00EB7BDB">
        <w:rPr>
          <w:rFonts w:ascii="Times New Roman" w:hAnsi="Times New Roman" w:cs="Times New Roman"/>
          <w:color w:val="000000"/>
          <w:spacing w:val="-1"/>
        </w:rPr>
        <w:t xml:space="preserve"> месяцев.</w:t>
      </w:r>
    </w:p>
    <w:p w:rsidR="00EB7BDB" w:rsidRPr="00EB7BDB" w:rsidRDefault="00EB7BDB" w:rsidP="00EB7BDB">
      <w:pPr>
        <w:pStyle w:val="ac"/>
        <w:spacing w:after="0"/>
        <w:rPr>
          <w:rFonts w:ascii="Times New Roman" w:hAnsi="Times New Roman" w:cs="Times New Roman"/>
          <w:color w:val="000000"/>
          <w:spacing w:val="-1"/>
        </w:rPr>
      </w:pPr>
    </w:p>
    <w:p w:rsidR="00EB7BDB" w:rsidRPr="00EB7BDB" w:rsidRDefault="00EB7BDB" w:rsidP="00EB7BDB">
      <w:pPr>
        <w:ind w:firstLine="709"/>
        <w:jc w:val="both"/>
        <w:rPr>
          <w:rFonts w:ascii="Times New Roman" w:hAnsi="Times New Roman" w:cs="Times New Roman"/>
        </w:rPr>
      </w:pPr>
      <w:r w:rsidRPr="00EB7BDB">
        <w:rPr>
          <w:rFonts w:ascii="Times New Roman" w:hAnsi="Times New Roman" w:cs="Times New Roman"/>
          <w:color w:val="000000"/>
        </w:rPr>
        <w:t xml:space="preserve"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 </w:t>
      </w:r>
      <w:r w:rsidRPr="00EB7BDB">
        <w:rPr>
          <w:rFonts w:ascii="Times New Roman" w:hAnsi="Times New Roman" w:cs="Times New Roman"/>
        </w:rPr>
        <w:t>Срок гарантийного ремонта со дня обращения Получателя не должен превышать 60 рабочих дней.</w:t>
      </w:r>
    </w:p>
    <w:p w:rsidR="00EB7BDB" w:rsidRPr="00EB7BDB" w:rsidRDefault="00EB7BDB" w:rsidP="00EB7BD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EB7BDB" w:rsidRPr="00EB7BDB" w:rsidRDefault="00EB7BDB" w:rsidP="00EB7BDB">
      <w:pPr>
        <w:ind w:firstLine="709"/>
        <w:rPr>
          <w:rFonts w:ascii="Times New Roman" w:hAnsi="Times New Roman" w:cs="Times New Roman"/>
          <w:b/>
          <w:bCs/>
        </w:rPr>
      </w:pPr>
      <w:r w:rsidRPr="00EB7BDB">
        <w:rPr>
          <w:rFonts w:ascii="Times New Roman" w:hAnsi="Times New Roman" w:cs="Times New Roman"/>
          <w:bCs/>
        </w:rPr>
        <w:t xml:space="preserve"> </w:t>
      </w:r>
      <w:r w:rsidRPr="00EB7BDB">
        <w:rPr>
          <w:rFonts w:ascii="Times New Roman" w:hAnsi="Times New Roman" w:cs="Times New Roman"/>
          <w:b/>
          <w:bCs/>
        </w:rPr>
        <w:t xml:space="preserve">Срок пользования: </w:t>
      </w:r>
    </w:p>
    <w:p w:rsidR="00EB7BDB" w:rsidRPr="00EB7BDB" w:rsidRDefault="00EB7BDB" w:rsidP="00EB7BDB">
      <w:pPr>
        <w:rPr>
          <w:rFonts w:ascii="Times New Roman" w:hAnsi="Times New Roman" w:cs="Times New Roman"/>
          <w:bCs/>
          <w:color w:val="000000"/>
          <w:spacing w:val="-1"/>
        </w:rPr>
      </w:pPr>
      <w:r w:rsidRPr="00EB7BDB">
        <w:rPr>
          <w:rFonts w:ascii="Times New Roman" w:hAnsi="Times New Roman" w:cs="Times New Roman"/>
          <w:bCs/>
        </w:rPr>
        <w:t>-</w:t>
      </w:r>
      <w:r w:rsidRPr="00EB7BDB">
        <w:rPr>
          <w:rFonts w:ascii="Times New Roman" w:hAnsi="Times New Roman" w:cs="Times New Roman"/>
          <w:bCs/>
          <w:color w:val="000000"/>
          <w:spacing w:val="-1"/>
        </w:rPr>
        <w:t xml:space="preserve"> тутор на голеностопный сустав – не менее 1 года;</w:t>
      </w:r>
    </w:p>
    <w:p w:rsidR="00EB7BDB" w:rsidRPr="00EB7BDB" w:rsidRDefault="00EB7BDB" w:rsidP="00EB7BDB">
      <w:pPr>
        <w:pStyle w:val="ac"/>
        <w:spacing w:after="0"/>
        <w:rPr>
          <w:rFonts w:ascii="Times New Roman" w:hAnsi="Times New Roman" w:cs="Times New Roman"/>
          <w:lang w:eastAsia="ru-RU"/>
        </w:rPr>
      </w:pPr>
      <w:r w:rsidRPr="00EB7BDB">
        <w:rPr>
          <w:rFonts w:ascii="Times New Roman" w:eastAsia="Lucida Sans Unicode" w:hAnsi="Times New Roman" w:cs="Times New Roman"/>
        </w:rPr>
        <w:t xml:space="preserve">- </w:t>
      </w:r>
      <w:r w:rsidRPr="00EB7BDB">
        <w:rPr>
          <w:rFonts w:ascii="Times New Roman" w:eastAsia="Calibri" w:hAnsi="Times New Roman" w:cs="Times New Roman"/>
        </w:rPr>
        <w:t>тутор на коленный сустав</w:t>
      </w:r>
      <w:r w:rsidRPr="00EB7BDB">
        <w:rPr>
          <w:rFonts w:ascii="Times New Roman" w:hAnsi="Times New Roman" w:cs="Times New Roman"/>
          <w:lang w:eastAsia="ru-RU"/>
        </w:rPr>
        <w:t xml:space="preserve"> – не менее </w:t>
      </w:r>
      <w:r w:rsidRPr="00EB7BDB">
        <w:rPr>
          <w:rFonts w:ascii="Times New Roman" w:hAnsi="Times New Roman" w:cs="Times New Roman"/>
        </w:rPr>
        <w:t>1 года</w:t>
      </w:r>
      <w:r w:rsidRPr="00EB7BDB">
        <w:rPr>
          <w:rFonts w:ascii="Times New Roman" w:hAnsi="Times New Roman" w:cs="Times New Roman"/>
          <w:color w:val="000000"/>
          <w:spacing w:val="-1"/>
        </w:rPr>
        <w:t>;</w:t>
      </w:r>
    </w:p>
    <w:p w:rsidR="00EB7BDB" w:rsidRPr="00EB7BDB" w:rsidRDefault="00EB7BDB" w:rsidP="00EB7BDB">
      <w:pPr>
        <w:pStyle w:val="ac"/>
        <w:spacing w:after="0"/>
        <w:rPr>
          <w:rFonts w:ascii="Times New Roman" w:hAnsi="Times New Roman" w:cs="Times New Roman"/>
          <w:lang w:eastAsia="ar-SA"/>
        </w:rPr>
      </w:pPr>
      <w:r w:rsidRPr="00EB7BDB">
        <w:rPr>
          <w:rFonts w:ascii="Times New Roman" w:hAnsi="Times New Roman" w:cs="Times New Roman"/>
          <w:lang w:eastAsia="ru-RU"/>
        </w:rPr>
        <w:t xml:space="preserve">- </w:t>
      </w:r>
      <w:r w:rsidRPr="00EB7BDB">
        <w:rPr>
          <w:rFonts w:ascii="Times New Roman" w:eastAsia="Calibri" w:hAnsi="Times New Roman" w:cs="Times New Roman"/>
        </w:rPr>
        <w:t>тутор на тазобедренный сустав</w:t>
      </w:r>
      <w:r w:rsidRPr="00EB7BDB">
        <w:rPr>
          <w:rFonts w:ascii="Times New Roman" w:hAnsi="Times New Roman" w:cs="Times New Roman"/>
          <w:lang w:eastAsia="ru-RU"/>
        </w:rPr>
        <w:t xml:space="preserve"> –</w:t>
      </w:r>
      <w:r w:rsidRPr="00EB7BDB">
        <w:rPr>
          <w:rFonts w:ascii="Times New Roman" w:hAnsi="Times New Roman" w:cs="Times New Roman"/>
        </w:rPr>
        <w:t xml:space="preserve"> не менее 1 года;</w:t>
      </w:r>
    </w:p>
    <w:p w:rsidR="00EB7BDB" w:rsidRPr="00EB7BDB" w:rsidRDefault="00EB7BDB" w:rsidP="00EB7BDB">
      <w:pPr>
        <w:pStyle w:val="ac"/>
        <w:spacing w:after="0"/>
        <w:rPr>
          <w:rFonts w:ascii="Times New Roman" w:hAnsi="Times New Roman" w:cs="Times New Roman"/>
          <w:color w:val="000000"/>
          <w:spacing w:val="-1"/>
        </w:rPr>
      </w:pPr>
      <w:r w:rsidRPr="00EB7BDB">
        <w:rPr>
          <w:rFonts w:ascii="Times New Roman" w:hAnsi="Times New Roman" w:cs="Times New Roman"/>
          <w:lang w:eastAsia="ru-RU"/>
        </w:rPr>
        <w:t xml:space="preserve">- </w:t>
      </w:r>
      <w:r w:rsidRPr="00EB7BDB">
        <w:rPr>
          <w:rFonts w:ascii="Times New Roman" w:eastAsia="Calibri" w:hAnsi="Times New Roman" w:cs="Times New Roman"/>
        </w:rPr>
        <w:t>тутор на всю ногу</w:t>
      </w:r>
      <w:r w:rsidRPr="00EB7BDB">
        <w:rPr>
          <w:rFonts w:ascii="Times New Roman" w:hAnsi="Times New Roman" w:cs="Times New Roman"/>
          <w:lang w:eastAsia="ru-RU"/>
        </w:rPr>
        <w:t xml:space="preserve"> – не менее </w:t>
      </w:r>
      <w:r w:rsidRPr="00EB7BDB">
        <w:rPr>
          <w:rFonts w:ascii="Times New Roman" w:hAnsi="Times New Roman" w:cs="Times New Roman"/>
        </w:rPr>
        <w:t>1 года</w:t>
      </w:r>
      <w:r w:rsidRPr="00EB7BDB">
        <w:rPr>
          <w:rFonts w:ascii="Times New Roman" w:hAnsi="Times New Roman" w:cs="Times New Roman"/>
          <w:color w:val="000000"/>
          <w:spacing w:val="-1"/>
        </w:rPr>
        <w:t>.</w:t>
      </w:r>
    </w:p>
    <w:p w:rsidR="00EB7BDB" w:rsidRPr="00EB7BDB" w:rsidRDefault="00EB7BDB" w:rsidP="00EB7BDB">
      <w:pPr>
        <w:ind w:firstLine="559"/>
        <w:jc w:val="both"/>
        <w:rPr>
          <w:rStyle w:val="a3"/>
          <w:rFonts w:ascii="Times New Roman" w:hAnsi="Times New Roman" w:cs="Times New Roman"/>
          <w:color w:val="000000"/>
          <w:spacing w:val="-1"/>
          <w:lang w:bidi="en-US"/>
        </w:rPr>
      </w:pPr>
      <w:r w:rsidRPr="00EB7BDB">
        <w:rPr>
          <w:rFonts w:ascii="Times New Roman" w:hAnsi="Times New Roman" w:cs="Times New Roman"/>
          <w:bCs/>
          <w:color w:val="000000"/>
        </w:rPr>
        <w:t xml:space="preserve">   </w:t>
      </w:r>
      <w:r w:rsidRPr="00951F91">
        <w:rPr>
          <w:rFonts w:ascii="Times New Roman" w:hAnsi="Times New Roman" w:cs="Times New Roman"/>
          <w:b/>
          <w:bCs/>
          <w:color w:val="000000"/>
        </w:rPr>
        <w:t>Место выполнения работ:</w:t>
      </w:r>
      <w:r w:rsidRPr="00EB7BDB">
        <w:rPr>
          <w:rFonts w:ascii="Times New Roman" w:hAnsi="Times New Roman" w:cs="Times New Roman"/>
          <w:bCs/>
          <w:color w:val="000000"/>
        </w:rPr>
        <w:t xml:space="preserve"> </w:t>
      </w:r>
      <w:r w:rsidRPr="00EB7BDB">
        <w:rPr>
          <w:rFonts w:ascii="Times New Roman" w:hAnsi="Times New Roman" w:cs="Times New Roman"/>
          <w:bCs/>
          <w:color w:val="000000"/>
          <w:spacing w:val="-1"/>
        </w:rPr>
        <w:t xml:space="preserve"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</w:t>
      </w:r>
      <w:r w:rsidRPr="00EB7BDB">
        <w:rPr>
          <w:rFonts w:ascii="Times New Roman" w:hAnsi="Times New Roman" w:cs="Times New Roman"/>
          <w:b/>
          <w:bCs/>
          <w:color w:val="000000"/>
          <w:spacing w:val="-1"/>
        </w:rPr>
        <w:t>туторами</w:t>
      </w:r>
      <w:r w:rsidRPr="00EB7BDB">
        <w:rPr>
          <w:rFonts w:ascii="Times New Roman" w:hAnsi="Times New Roman" w:cs="Times New Roman"/>
          <w:bCs/>
          <w:color w:val="000000"/>
          <w:spacing w:val="-1"/>
        </w:rPr>
        <w:t>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</w:t>
      </w:r>
      <w:bookmarkStart w:id="0" w:name="_GoBack"/>
      <w:bookmarkEnd w:id="0"/>
      <w:r w:rsidRPr="00EB7BDB">
        <w:rPr>
          <w:rFonts w:ascii="Times New Roman" w:hAnsi="Times New Roman" w:cs="Times New Roman"/>
          <w:bCs/>
          <w:color w:val="000000"/>
          <w:spacing w:val="-1"/>
        </w:rPr>
        <w:t>абот по заявлению Получателя почтой по Иркутской области</w:t>
      </w:r>
      <w:r w:rsidRPr="00EB7BDB">
        <w:rPr>
          <w:rStyle w:val="a3"/>
          <w:rFonts w:ascii="Times New Roman" w:hAnsi="Times New Roman" w:cs="Times New Roman"/>
          <w:color w:val="000000"/>
          <w:spacing w:val="-1"/>
          <w:lang w:bidi="en-US"/>
        </w:rPr>
        <w:t>.</w:t>
      </w:r>
    </w:p>
    <w:p w:rsidR="00EB7BDB" w:rsidRDefault="00EB7BDB" w:rsidP="00EB7BDB">
      <w:pPr>
        <w:jc w:val="both"/>
      </w:pPr>
      <w:r>
        <w:t xml:space="preserve"> </w:t>
      </w:r>
    </w:p>
    <w:p w:rsidR="00951F91" w:rsidRDefault="00951F91" w:rsidP="00EB7BDB">
      <w:pPr>
        <w:jc w:val="both"/>
        <w:rPr>
          <w:lang w:eastAsia="ru-RU"/>
        </w:rPr>
      </w:pPr>
    </w:p>
    <w:p w:rsidR="00024883" w:rsidRDefault="0002488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9000D" w:rsidRDefault="001517CC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44C09">
        <w:rPr>
          <w:rFonts w:ascii="Times New Roman" w:hAnsi="Times New Roman" w:cs="Times New Roman"/>
          <w:lang w:eastAsia="ru-RU"/>
        </w:rPr>
        <w:t xml:space="preserve">Информация для переноса </w:t>
      </w:r>
      <w:r w:rsidR="00C70302" w:rsidRPr="00544C09">
        <w:rPr>
          <w:rFonts w:ascii="Times New Roman" w:hAnsi="Times New Roman" w:cs="Times New Roman"/>
          <w:lang w:eastAsia="ru-RU"/>
        </w:rPr>
        <w:t xml:space="preserve">выше указанных </w:t>
      </w:r>
      <w:r w:rsidR="00741703" w:rsidRPr="00544C09">
        <w:rPr>
          <w:rFonts w:ascii="Times New Roman" w:hAnsi="Times New Roman" w:cs="Times New Roman"/>
          <w:lang w:eastAsia="ru-RU"/>
        </w:rPr>
        <w:t xml:space="preserve">характеристик </w:t>
      </w:r>
      <w:r w:rsidRPr="00544C09">
        <w:rPr>
          <w:rFonts w:ascii="Times New Roman" w:hAnsi="Times New Roman" w:cs="Times New Roman"/>
          <w:lang w:eastAsia="ru-RU"/>
        </w:rPr>
        <w:t>в оцифрованный формат</w:t>
      </w:r>
      <w:r w:rsidR="00C70302" w:rsidRPr="00544C09">
        <w:rPr>
          <w:rFonts w:ascii="Times New Roman" w:hAnsi="Times New Roman" w:cs="Times New Roman"/>
          <w:lang w:eastAsia="ru-RU"/>
        </w:rPr>
        <w:t xml:space="preserve"> для размещения структурированного описания объекта закупки</w:t>
      </w:r>
    </w:p>
    <w:p w:rsidR="00024883" w:rsidRPr="00544C09" w:rsidRDefault="0002488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6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6804"/>
        <w:gridCol w:w="1275"/>
        <w:gridCol w:w="567"/>
        <w:gridCol w:w="567"/>
        <w:gridCol w:w="567"/>
        <w:gridCol w:w="1276"/>
      </w:tblGrid>
      <w:tr w:rsidR="006D7795" w:rsidRPr="00B61FEF" w:rsidTr="000248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Наименование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Тип характеристики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proofErr w:type="spellStart"/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Ед</w:t>
            </w:r>
            <w:proofErr w:type="spellEnd"/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 xml:space="preserve">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Диапазон 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Диапазон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F" w:rsidRPr="00B61FEF" w:rsidRDefault="00B61FEF" w:rsidP="00526D1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Кол-во</w:t>
            </w:r>
          </w:p>
        </w:tc>
      </w:tr>
      <w:tr w:rsidR="006D7795" w:rsidRPr="00B61FEF" w:rsidTr="000248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Тутор на голеностопный сустав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Описание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Качественная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Тутор на голеностопный сустав предназначен для удержания стопы в корригируемом положении или для обеспечения высокой стабилизации голеностопного сустава с ограничением пронации и супинации, без влияния на тыльное и подошвенное сгибание.</w:t>
            </w:r>
          </w:p>
          <w:p w:rsidR="00B61FEF" w:rsidRPr="00B61FEF" w:rsidRDefault="00B61FEF" w:rsidP="00B61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зготовлен из листового полиэтилена, количество рамок – не менее 4 шт., элементов крепления или эластичных прочных пластиковых шин специальной формы, шнуровки и дополнительных фиксирующих лент с застежкой – «</w:t>
            </w:r>
            <w:proofErr w:type="spellStart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велькро</w:t>
            </w:r>
            <w:proofErr w:type="spellEnd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», вкладного полусинтетического материала с трехмерной ячеистой структурой: «дышащей», не сминающейся, выводящей влагу наружу. Изготовление по слепку или по обмерам. Назначение: постоянное.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85</w:t>
            </w:r>
          </w:p>
        </w:tc>
      </w:tr>
      <w:tr w:rsidR="006D7795" w:rsidRPr="00B61FEF" w:rsidTr="00024883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spacing w:line="300" w:lineRule="auto"/>
              <w:ind w:left="3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Тутор на коленный сустав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6D7795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Описание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Качественная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Тутор на коленный сустав предназначен для иммобилизации коленного сустава в разогнутом положении и под углом 20 град. с захватом нижней трети бедра и верхней трети голени, для создания боковой поддержки, с захватом голени и бедра предназначен для иммобилизации в заданном положении коленного сустава. </w:t>
            </w:r>
          </w:p>
          <w:p w:rsidR="00B61FEF" w:rsidRPr="00B61FEF" w:rsidRDefault="006D7795" w:rsidP="006D77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зготовлен из легкого </w:t>
            </w:r>
            <w:proofErr w:type="spellStart"/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>термоформируемого</w:t>
            </w:r>
            <w:proofErr w:type="spellEnd"/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пластика, подкладки из хлопка. Фиксация ремнями с застежкой «</w:t>
            </w:r>
            <w:proofErr w:type="spellStart"/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>велькро</w:t>
            </w:r>
            <w:proofErr w:type="spellEnd"/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» - не менее 6 шт., листового полиэтилена, рамок - 4 шт., элементов крепления. Изготовление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>ндивидуальное, по обмерам или по слепку. Назначение: постоянное.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6D7795" w:rsidP="006D779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65</w:t>
            </w:r>
          </w:p>
        </w:tc>
      </w:tr>
      <w:tr w:rsidR="006D7795" w:rsidRPr="00B61FEF" w:rsidTr="00024883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Тутор на тазобедренный сустав</w:t>
            </w:r>
          </w:p>
          <w:p w:rsidR="00B61FEF" w:rsidRPr="00B61FEF" w:rsidRDefault="00B61FEF" w:rsidP="00B61F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6D7795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Описание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Качественная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Тутор на тазобедренный сустав предназначен для обеспечения неподвижности тазобедренного сустава и реабилитации после </w:t>
            </w:r>
            <w:proofErr w:type="spellStart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эндопротезирования</w:t>
            </w:r>
            <w:proofErr w:type="spellEnd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или травм тазобедренной кости для фиксации, отведения и ограничения движения в суставе.</w:t>
            </w:r>
          </w:p>
          <w:p w:rsidR="00B61FEF" w:rsidRPr="00B61FEF" w:rsidRDefault="00B61FEF" w:rsidP="00B61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(тутор) может быть односторонним/ двусторонним, имеющим одну/две жесткие шины для фиксации сустава с одной /двух сторон. Может иметь замковый/</w:t>
            </w:r>
            <w:proofErr w:type="spellStart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беззамковый</w:t>
            </w:r>
            <w:proofErr w:type="spellEnd"/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шарнир для дальнейшей иммобилизации и реабилитации пациента. </w:t>
            </w:r>
          </w:p>
          <w:p w:rsidR="00B61FEF" w:rsidRPr="00B61FEF" w:rsidRDefault="00826FA6" w:rsidP="00B61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Состоит</w:t>
            </w:r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из прочного стального материала (шины, замки), внутренняя часть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состоит</w:t>
            </w:r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из формованного термопласта (может быть продублирован материалом/поролоном в местах соприкосновения с кожей по желанию заказчика). Фиксация стропами из ленты «</w:t>
            </w:r>
            <w:proofErr w:type="spellStart"/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>велькро</w:t>
            </w:r>
            <w:proofErr w:type="spellEnd"/>
            <w:r w:rsidR="00B61FEF" w:rsidRPr="00B61FE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B61FEF" w:rsidRDefault="00B61FEF" w:rsidP="00826F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Изготовление индивидуальное, по слепкам, а также максимальной готовности по типоразмерам. Назначение: постоянное на период реабилитации.</w:t>
            </w:r>
          </w:p>
          <w:p w:rsidR="00024883" w:rsidRDefault="00024883" w:rsidP="00826F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883" w:rsidRPr="00B61FEF" w:rsidRDefault="00024883" w:rsidP="00826F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D41596" w:rsidP="00D4159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8</w:t>
            </w:r>
          </w:p>
        </w:tc>
      </w:tr>
      <w:tr w:rsidR="006D7795" w:rsidRPr="00B61FEF" w:rsidTr="00024883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Тутор на всю ногу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6D7795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Описание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Качественная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>Тутор на всю ногу предназначен для иммобилизации в заданном положении нижней конечности.</w:t>
            </w:r>
          </w:p>
          <w:p w:rsidR="00B61FEF" w:rsidRPr="00B61FEF" w:rsidRDefault="00B61FEF" w:rsidP="00826F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Тутор изготовлен из пластика в зависимости от медицинских показаний получателя. Может иметь перфорацию для обеспечения вентиляции кожи. Внутренняя поверхность тутора может быть отделана мягким вспененным материалом по медицинским показаниям получателя. Фиксация тутора </w:t>
            </w:r>
            <w:r w:rsidR="00826FA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существляться с помощью застежек из контактной ленты, шнуровки. </w:t>
            </w:r>
            <w:r w:rsidR="003430AA" w:rsidRPr="00B61FEF">
              <w:rPr>
                <w:rFonts w:ascii="Times New Roman" w:hAnsi="Times New Roman" w:cs="Times New Roman"/>
                <w:sz w:val="18"/>
                <w:szCs w:val="18"/>
              </w:rPr>
              <w:t>Изготовление осуществляться</w:t>
            </w:r>
            <w:r w:rsidRPr="00B61FEF">
              <w:rPr>
                <w:rFonts w:ascii="Times New Roman" w:hAnsi="Times New Roman" w:cs="Times New Roman"/>
                <w:sz w:val="18"/>
                <w:szCs w:val="18"/>
              </w:rPr>
              <w:t xml:space="preserve"> по индивидуальным слепкам.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B61FEF" w:rsidP="00B61FE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61FEF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F" w:rsidRPr="00B61FEF" w:rsidRDefault="00024883" w:rsidP="0002488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20</w:t>
            </w:r>
          </w:p>
        </w:tc>
      </w:tr>
    </w:tbl>
    <w:p w:rsidR="00741703" w:rsidRPr="00B61FEF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741703" w:rsidRPr="00B61FEF" w:rsidSect="0002488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645C"/>
    <w:rsid w:val="00021C5C"/>
    <w:rsid w:val="00024883"/>
    <w:rsid w:val="00031746"/>
    <w:rsid w:val="00036CAD"/>
    <w:rsid w:val="000731C0"/>
    <w:rsid w:val="000771AC"/>
    <w:rsid w:val="00081B9B"/>
    <w:rsid w:val="00086B96"/>
    <w:rsid w:val="0009658B"/>
    <w:rsid w:val="000A0BB6"/>
    <w:rsid w:val="000A2FD7"/>
    <w:rsid w:val="000A4755"/>
    <w:rsid w:val="000C292F"/>
    <w:rsid w:val="000C510E"/>
    <w:rsid w:val="000F7E24"/>
    <w:rsid w:val="00100004"/>
    <w:rsid w:val="00115188"/>
    <w:rsid w:val="00116FDB"/>
    <w:rsid w:val="00124508"/>
    <w:rsid w:val="00125127"/>
    <w:rsid w:val="00125E95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FA6"/>
    <w:rsid w:val="00194B31"/>
    <w:rsid w:val="001B309E"/>
    <w:rsid w:val="001C37BB"/>
    <w:rsid w:val="001E033B"/>
    <w:rsid w:val="001E5CCD"/>
    <w:rsid w:val="001E7D82"/>
    <w:rsid w:val="001F0F57"/>
    <w:rsid w:val="001F27C3"/>
    <w:rsid w:val="001F712E"/>
    <w:rsid w:val="002030FD"/>
    <w:rsid w:val="00205119"/>
    <w:rsid w:val="00206B1C"/>
    <w:rsid w:val="00212106"/>
    <w:rsid w:val="00215A6E"/>
    <w:rsid w:val="00241BF4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A71DB"/>
    <w:rsid w:val="002B176F"/>
    <w:rsid w:val="002C6BD9"/>
    <w:rsid w:val="002C721E"/>
    <w:rsid w:val="002D0766"/>
    <w:rsid w:val="002D20B3"/>
    <w:rsid w:val="002D511E"/>
    <w:rsid w:val="002D5ADF"/>
    <w:rsid w:val="002E7FF8"/>
    <w:rsid w:val="002F5A2C"/>
    <w:rsid w:val="002F76E9"/>
    <w:rsid w:val="002F781E"/>
    <w:rsid w:val="003019C5"/>
    <w:rsid w:val="0030275A"/>
    <w:rsid w:val="003035C7"/>
    <w:rsid w:val="00304302"/>
    <w:rsid w:val="00305607"/>
    <w:rsid w:val="00320489"/>
    <w:rsid w:val="00322FCA"/>
    <w:rsid w:val="003430AA"/>
    <w:rsid w:val="003437B7"/>
    <w:rsid w:val="003632B0"/>
    <w:rsid w:val="003645F0"/>
    <w:rsid w:val="00370CB0"/>
    <w:rsid w:val="00375C60"/>
    <w:rsid w:val="0039000D"/>
    <w:rsid w:val="003A58CF"/>
    <w:rsid w:val="003B0784"/>
    <w:rsid w:val="003B2F62"/>
    <w:rsid w:val="003C085F"/>
    <w:rsid w:val="003D0358"/>
    <w:rsid w:val="003D4690"/>
    <w:rsid w:val="003D71B5"/>
    <w:rsid w:val="003E0BFC"/>
    <w:rsid w:val="003E0DD0"/>
    <w:rsid w:val="003E108D"/>
    <w:rsid w:val="003E2E01"/>
    <w:rsid w:val="003F7031"/>
    <w:rsid w:val="004001DB"/>
    <w:rsid w:val="00400278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A26A8"/>
    <w:rsid w:val="004A37AF"/>
    <w:rsid w:val="004B0372"/>
    <w:rsid w:val="004B0D7D"/>
    <w:rsid w:val="004B2222"/>
    <w:rsid w:val="004B3E0B"/>
    <w:rsid w:val="004B52B6"/>
    <w:rsid w:val="004B6C36"/>
    <w:rsid w:val="004C36E9"/>
    <w:rsid w:val="004D0A76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364F"/>
    <w:rsid w:val="00525374"/>
    <w:rsid w:val="005349D5"/>
    <w:rsid w:val="00544C09"/>
    <w:rsid w:val="00546E55"/>
    <w:rsid w:val="00560004"/>
    <w:rsid w:val="0056403D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5EC6"/>
    <w:rsid w:val="005F7E3D"/>
    <w:rsid w:val="00600BEA"/>
    <w:rsid w:val="006017BC"/>
    <w:rsid w:val="00603BC8"/>
    <w:rsid w:val="00603E50"/>
    <w:rsid w:val="00605615"/>
    <w:rsid w:val="00635015"/>
    <w:rsid w:val="00635990"/>
    <w:rsid w:val="00657B75"/>
    <w:rsid w:val="0066625E"/>
    <w:rsid w:val="00672A9E"/>
    <w:rsid w:val="00680608"/>
    <w:rsid w:val="00680E68"/>
    <w:rsid w:val="006836D4"/>
    <w:rsid w:val="00696E4D"/>
    <w:rsid w:val="00697EEB"/>
    <w:rsid w:val="006A0AA5"/>
    <w:rsid w:val="006A45E8"/>
    <w:rsid w:val="006A7BFF"/>
    <w:rsid w:val="006B20A4"/>
    <w:rsid w:val="006B63B8"/>
    <w:rsid w:val="006C0B27"/>
    <w:rsid w:val="006D0E04"/>
    <w:rsid w:val="006D41CD"/>
    <w:rsid w:val="006D6812"/>
    <w:rsid w:val="006D6F8B"/>
    <w:rsid w:val="006D7795"/>
    <w:rsid w:val="006E1DCE"/>
    <w:rsid w:val="006E2557"/>
    <w:rsid w:val="006E5583"/>
    <w:rsid w:val="006F3224"/>
    <w:rsid w:val="006F4E6B"/>
    <w:rsid w:val="006F5BD2"/>
    <w:rsid w:val="007221F6"/>
    <w:rsid w:val="007226D6"/>
    <w:rsid w:val="00723515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6275E"/>
    <w:rsid w:val="00773368"/>
    <w:rsid w:val="007768CC"/>
    <w:rsid w:val="00787517"/>
    <w:rsid w:val="00787C75"/>
    <w:rsid w:val="007911AC"/>
    <w:rsid w:val="007969B9"/>
    <w:rsid w:val="007A28D7"/>
    <w:rsid w:val="007A6A85"/>
    <w:rsid w:val="007B142E"/>
    <w:rsid w:val="007B79AD"/>
    <w:rsid w:val="007E432B"/>
    <w:rsid w:val="007E455E"/>
    <w:rsid w:val="007E4564"/>
    <w:rsid w:val="007E5705"/>
    <w:rsid w:val="007F26D5"/>
    <w:rsid w:val="007F5BF7"/>
    <w:rsid w:val="00804BD3"/>
    <w:rsid w:val="00806A61"/>
    <w:rsid w:val="00806C78"/>
    <w:rsid w:val="00806F8A"/>
    <w:rsid w:val="008115C6"/>
    <w:rsid w:val="00813672"/>
    <w:rsid w:val="008144BF"/>
    <w:rsid w:val="008173DB"/>
    <w:rsid w:val="00823E71"/>
    <w:rsid w:val="008265CE"/>
    <w:rsid w:val="00826FA6"/>
    <w:rsid w:val="00840CA0"/>
    <w:rsid w:val="00846C5A"/>
    <w:rsid w:val="00847771"/>
    <w:rsid w:val="00850D88"/>
    <w:rsid w:val="008514B5"/>
    <w:rsid w:val="00861C08"/>
    <w:rsid w:val="00864224"/>
    <w:rsid w:val="0088316E"/>
    <w:rsid w:val="00883930"/>
    <w:rsid w:val="00894701"/>
    <w:rsid w:val="008C48BA"/>
    <w:rsid w:val="008C5DF8"/>
    <w:rsid w:val="008E02AD"/>
    <w:rsid w:val="008E5B6A"/>
    <w:rsid w:val="008F211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46254"/>
    <w:rsid w:val="009503FA"/>
    <w:rsid w:val="00951F91"/>
    <w:rsid w:val="0095274F"/>
    <w:rsid w:val="009532BB"/>
    <w:rsid w:val="00961A15"/>
    <w:rsid w:val="00962A4B"/>
    <w:rsid w:val="00964BAE"/>
    <w:rsid w:val="00972549"/>
    <w:rsid w:val="00974E5E"/>
    <w:rsid w:val="009763F9"/>
    <w:rsid w:val="00976874"/>
    <w:rsid w:val="009778DC"/>
    <w:rsid w:val="00994E97"/>
    <w:rsid w:val="00996A95"/>
    <w:rsid w:val="009A10E1"/>
    <w:rsid w:val="009B033D"/>
    <w:rsid w:val="009C029F"/>
    <w:rsid w:val="009C1A2D"/>
    <w:rsid w:val="009D02E3"/>
    <w:rsid w:val="009D3EE0"/>
    <w:rsid w:val="009E7BF6"/>
    <w:rsid w:val="009F4AA0"/>
    <w:rsid w:val="00A0161E"/>
    <w:rsid w:val="00A15AE9"/>
    <w:rsid w:val="00A2380A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72340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52B6"/>
    <w:rsid w:val="00AD60E4"/>
    <w:rsid w:val="00AE2901"/>
    <w:rsid w:val="00AE40F8"/>
    <w:rsid w:val="00AE75BB"/>
    <w:rsid w:val="00AF28B6"/>
    <w:rsid w:val="00AF46A8"/>
    <w:rsid w:val="00B01578"/>
    <w:rsid w:val="00B02EFF"/>
    <w:rsid w:val="00B075F1"/>
    <w:rsid w:val="00B10B4A"/>
    <w:rsid w:val="00B135FE"/>
    <w:rsid w:val="00B325DF"/>
    <w:rsid w:val="00B50BBD"/>
    <w:rsid w:val="00B53E8D"/>
    <w:rsid w:val="00B54118"/>
    <w:rsid w:val="00B61FEF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EA2"/>
    <w:rsid w:val="00BB7863"/>
    <w:rsid w:val="00BB7F8D"/>
    <w:rsid w:val="00BC0406"/>
    <w:rsid w:val="00BD5794"/>
    <w:rsid w:val="00BF0171"/>
    <w:rsid w:val="00C13357"/>
    <w:rsid w:val="00C2325F"/>
    <w:rsid w:val="00C60628"/>
    <w:rsid w:val="00C70302"/>
    <w:rsid w:val="00C72500"/>
    <w:rsid w:val="00C807ED"/>
    <w:rsid w:val="00C83F4F"/>
    <w:rsid w:val="00C8615D"/>
    <w:rsid w:val="00CA3195"/>
    <w:rsid w:val="00CA5BA0"/>
    <w:rsid w:val="00CA744F"/>
    <w:rsid w:val="00CB1F3B"/>
    <w:rsid w:val="00CC57D9"/>
    <w:rsid w:val="00CD6E01"/>
    <w:rsid w:val="00CE14B8"/>
    <w:rsid w:val="00CF2AAE"/>
    <w:rsid w:val="00CF444C"/>
    <w:rsid w:val="00D007D7"/>
    <w:rsid w:val="00D13916"/>
    <w:rsid w:val="00D1520E"/>
    <w:rsid w:val="00D21FC7"/>
    <w:rsid w:val="00D24FD5"/>
    <w:rsid w:val="00D270C6"/>
    <w:rsid w:val="00D403B8"/>
    <w:rsid w:val="00D41596"/>
    <w:rsid w:val="00D423DC"/>
    <w:rsid w:val="00D4750D"/>
    <w:rsid w:val="00D554B1"/>
    <w:rsid w:val="00D57B8E"/>
    <w:rsid w:val="00D75E8A"/>
    <w:rsid w:val="00D828EA"/>
    <w:rsid w:val="00D8678E"/>
    <w:rsid w:val="00D97B98"/>
    <w:rsid w:val="00DA2C13"/>
    <w:rsid w:val="00DA384A"/>
    <w:rsid w:val="00DB0997"/>
    <w:rsid w:val="00DB17E6"/>
    <w:rsid w:val="00DB4AD9"/>
    <w:rsid w:val="00DC21C6"/>
    <w:rsid w:val="00DC2BFE"/>
    <w:rsid w:val="00DC51BC"/>
    <w:rsid w:val="00DC6442"/>
    <w:rsid w:val="00DC6B21"/>
    <w:rsid w:val="00DD16B8"/>
    <w:rsid w:val="00DD6D6A"/>
    <w:rsid w:val="00DE1853"/>
    <w:rsid w:val="00DE64F5"/>
    <w:rsid w:val="00DF6E92"/>
    <w:rsid w:val="00E0427C"/>
    <w:rsid w:val="00E166E5"/>
    <w:rsid w:val="00E307D0"/>
    <w:rsid w:val="00E3461C"/>
    <w:rsid w:val="00E42801"/>
    <w:rsid w:val="00E527A0"/>
    <w:rsid w:val="00E52FFA"/>
    <w:rsid w:val="00E535D4"/>
    <w:rsid w:val="00E5366F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B7BDB"/>
    <w:rsid w:val="00EC049B"/>
    <w:rsid w:val="00EC0D9E"/>
    <w:rsid w:val="00EC4199"/>
    <w:rsid w:val="00EC42AA"/>
    <w:rsid w:val="00ED13B0"/>
    <w:rsid w:val="00F162B0"/>
    <w:rsid w:val="00F17AB1"/>
    <w:rsid w:val="00F27E41"/>
    <w:rsid w:val="00F31ACA"/>
    <w:rsid w:val="00F4092D"/>
    <w:rsid w:val="00F44A96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D2963"/>
    <w:rsid w:val="00FD56E4"/>
    <w:rsid w:val="00FE2762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"/>
    <w:rsid w:val="00EB7BDB"/>
    <w:pPr>
      <w:widowControl w:val="0"/>
      <w:suppressLineNumbers/>
      <w:suppressAutoHyphens/>
      <w:spacing w:after="0" w:line="30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CA0A-A118-48BE-A23C-C7CE523A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49</cp:revision>
  <cp:lastPrinted>2022-02-10T02:44:00Z</cp:lastPrinted>
  <dcterms:created xsi:type="dcterms:W3CDTF">2023-10-02T01:10:00Z</dcterms:created>
  <dcterms:modified xsi:type="dcterms:W3CDTF">2023-10-27T08:00:00Z</dcterms:modified>
</cp:coreProperties>
</file>