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90" w:rsidRPr="00BC7C90" w:rsidRDefault="00BC7C90" w:rsidP="0022729A">
      <w:pPr>
        <w:keepNext/>
        <w:keepLines/>
        <w:ind w:right="-1"/>
        <w:contextualSpacing/>
        <w:jc w:val="center"/>
        <w:outlineLvl w:val="0"/>
        <w:rPr>
          <w:b/>
          <w:kern w:val="28"/>
        </w:rPr>
      </w:pPr>
      <w:r w:rsidRPr="00BC7C90">
        <w:rPr>
          <w:b/>
          <w:kern w:val="28"/>
        </w:rPr>
        <w:t>ОПИСАНИЕ ОБЪЕКТА ЗАКУПКИ</w:t>
      </w:r>
    </w:p>
    <w:p w:rsidR="00BC7C90" w:rsidRPr="00BC7C90" w:rsidRDefault="00BC7C90" w:rsidP="00BC7C90">
      <w:pPr>
        <w:ind w:right="-1"/>
        <w:jc w:val="center"/>
        <w:rPr>
          <w:b/>
        </w:rPr>
      </w:pPr>
      <w:r w:rsidRPr="00BC7C90">
        <w:rPr>
          <w:b/>
          <w:bCs/>
        </w:rPr>
        <w:t>Выполнение работ по обеспечению застрахованных лиц, пострадавших в результате несчастных случаев на производстве и профессиональных заболеваний, протезами.</w:t>
      </w:r>
    </w:p>
    <w:p w:rsidR="00BC7C90" w:rsidRPr="00BC7C90" w:rsidRDefault="00BC7C90" w:rsidP="00BC7C90">
      <w:pPr>
        <w:ind w:right="-1"/>
        <w:jc w:val="center"/>
        <w:rPr>
          <w:b/>
        </w:rPr>
      </w:pPr>
      <w:r w:rsidRPr="00BC7C90">
        <w:rPr>
          <w:b/>
        </w:rPr>
        <w:t xml:space="preserve">Требования к качеству, техническим, функциональным характеристикам протезов </w:t>
      </w:r>
      <w:r w:rsidR="00712549">
        <w:rPr>
          <w:b/>
        </w:rPr>
        <w:t>верхних</w:t>
      </w:r>
      <w:r w:rsidR="0085210B">
        <w:rPr>
          <w:b/>
        </w:rPr>
        <w:t xml:space="preserve"> конечностей</w:t>
      </w:r>
    </w:p>
    <w:p w:rsidR="00712549" w:rsidRDefault="00712549" w:rsidP="00BC7C90">
      <w:pPr>
        <w:ind w:right="-1"/>
        <w:jc w:val="center"/>
        <w:rPr>
          <w:b/>
        </w:rPr>
      </w:pPr>
    </w:p>
    <w:p w:rsidR="00BC7C90" w:rsidRPr="00BC7C90" w:rsidRDefault="0085210B" w:rsidP="00BC7C90">
      <w:pPr>
        <w:ind w:right="-1"/>
        <w:jc w:val="center"/>
        <w:rPr>
          <w:b/>
        </w:rPr>
      </w:pPr>
      <w:r>
        <w:rPr>
          <w:b/>
        </w:rPr>
        <w:t>Требования к качеству работ</w:t>
      </w:r>
    </w:p>
    <w:p w:rsidR="00712549" w:rsidRDefault="00712549" w:rsidP="00CE6CEB">
      <w:pPr>
        <w:ind w:firstLine="567"/>
        <w:jc w:val="both"/>
      </w:pPr>
      <w:r>
        <w:t>Протез должен соответствовать требованиям Федерального закона от 21.11.2011 года  № 323-ФЗ «Об основах охраны здоровья граждан в Российской Федерации».</w:t>
      </w:r>
    </w:p>
    <w:p w:rsidR="00B31978" w:rsidRPr="00495C1A" w:rsidRDefault="00B31978" w:rsidP="00CE6CEB">
      <w:pPr>
        <w:jc w:val="center"/>
        <w:rPr>
          <w:b/>
        </w:rPr>
      </w:pPr>
      <w:r w:rsidRPr="00495C1A">
        <w:rPr>
          <w:b/>
        </w:rPr>
        <w:t>Требования к техническим и функциональным характеристикам работ</w:t>
      </w:r>
    </w:p>
    <w:p w:rsidR="00712549" w:rsidRDefault="00712549" w:rsidP="00CE6CEB">
      <w:pPr>
        <w:ind w:firstLine="567"/>
        <w:jc w:val="both"/>
      </w:pPr>
      <w:r w:rsidRPr="00712549">
        <w:t xml:space="preserve">Выполняемые работы по обеспечению застрахованного лица, пострадавшего в результате несчастного случая на производстве протезом верхней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протеза верхней конечности. </w:t>
      </w:r>
    </w:p>
    <w:p w:rsidR="00B31978" w:rsidRPr="00495C1A" w:rsidRDefault="00B31978" w:rsidP="00CE6CEB">
      <w:pPr>
        <w:jc w:val="center"/>
        <w:rPr>
          <w:b/>
        </w:rPr>
      </w:pPr>
      <w:r w:rsidRPr="00495C1A">
        <w:rPr>
          <w:b/>
        </w:rPr>
        <w:t>Требования к безопасности работ</w:t>
      </w:r>
    </w:p>
    <w:p w:rsidR="00B31978" w:rsidRPr="00495C1A" w:rsidRDefault="00B31978" w:rsidP="00CE6CEB">
      <w:pPr>
        <w:ind w:firstLine="567"/>
        <w:jc w:val="both"/>
      </w:pPr>
      <w:r w:rsidRPr="00495C1A">
        <w:t xml:space="preserve">Проведение работ по обеспечению застрахованного лица, пострадавшего в результате несчастного случая на производстве </w:t>
      </w:r>
      <w:r>
        <w:t xml:space="preserve"> протез</w:t>
      </w:r>
      <w:r w:rsidR="00EC0682">
        <w:t>ом</w:t>
      </w:r>
      <w:r w:rsidRPr="00495C1A">
        <w:t xml:space="preserve"> </w:t>
      </w:r>
      <w:r w:rsidR="00055A99">
        <w:t>верхней</w:t>
      </w:r>
      <w:r w:rsidRPr="00495C1A">
        <w:t xml:space="preserve"> конечности должно осуществляться в соответствии с требованиями, установленными законодательством Российской Федерации.</w:t>
      </w:r>
    </w:p>
    <w:p w:rsidR="00B31978" w:rsidRPr="00495C1A" w:rsidRDefault="00B31978" w:rsidP="00CE6CEB">
      <w:pPr>
        <w:jc w:val="center"/>
        <w:rPr>
          <w:b/>
        </w:rPr>
      </w:pPr>
      <w:r w:rsidRPr="00495C1A">
        <w:rPr>
          <w:b/>
        </w:rPr>
        <w:t>Требования к результатам работ</w:t>
      </w:r>
    </w:p>
    <w:p w:rsidR="00B31978" w:rsidRPr="00495C1A" w:rsidRDefault="00B31978" w:rsidP="00CE6CEB">
      <w:pPr>
        <w:ind w:firstLine="567"/>
        <w:jc w:val="both"/>
      </w:pPr>
      <w:r w:rsidRPr="00495C1A">
        <w:t>Работы по обеспечению застрахованного лица, пострадавшего в результате несчастного случая на производстве протез</w:t>
      </w:r>
      <w:r w:rsidR="00055A99">
        <w:t xml:space="preserve">ом верхней </w:t>
      </w:r>
      <w:r w:rsidRPr="00495C1A">
        <w:t xml:space="preserve"> конечности следует считать эффективно исполненным, если у застрахованного лица, пострадавшего в результате несчастного случая на производстве восстановлена опорная и двигательная функции, созданы условия для предупреждения развития деформации или благоприятного течения болезни. Работы по обеспечению застрахованного лица, пострадавшего в результате несчастного случая на производстве протез</w:t>
      </w:r>
      <w:r w:rsidR="00055A99">
        <w:t>ом</w:t>
      </w:r>
      <w:r w:rsidR="002C0C5A">
        <w:t xml:space="preserve"> верхней конечности</w:t>
      </w:r>
      <w:r w:rsidRPr="00495C1A">
        <w:t xml:space="preserve"> должны быть выполнены с надлежащим качеством и в установленные сроки.</w:t>
      </w:r>
    </w:p>
    <w:p w:rsidR="00B31978" w:rsidRPr="00495C1A" w:rsidRDefault="00B31978" w:rsidP="00CE6CEB">
      <w:pPr>
        <w:jc w:val="center"/>
        <w:rPr>
          <w:b/>
        </w:rPr>
      </w:pPr>
      <w:r w:rsidRPr="00495C1A">
        <w:rPr>
          <w:b/>
        </w:rPr>
        <w:t>Требования к размерам, уп</w:t>
      </w:r>
      <w:r w:rsidR="0085210B">
        <w:rPr>
          <w:b/>
        </w:rPr>
        <w:t>аковке и отгрузке изделий</w:t>
      </w:r>
    </w:p>
    <w:p w:rsidR="00B31978" w:rsidRPr="00495C1A" w:rsidRDefault="00B31978" w:rsidP="00CE6CEB">
      <w:pPr>
        <w:ind w:firstLine="567"/>
        <w:jc w:val="both"/>
      </w:pPr>
      <w:r w:rsidRPr="00495C1A">
        <w:t xml:space="preserve">Упаковка  протеза </w:t>
      </w:r>
      <w:r w:rsidR="00DC1346">
        <w:t>верхней</w:t>
      </w:r>
      <w:r w:rsidRPr="00495C1A">
        <w:t xml:space="preserve">  конечност</w:t>
      </w:r>
      <w:r w:rsidR="00DC1346">
        <w:t>и</w:t>
      </w:r>
      <w:r w:rsidRPr="00495C1A">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31978" w:rsidRPr="00495C1A" w:rsidRDefault="00B31978" w:rsidP="00CE6CEB">
      <w:pPr>
        <w:jc w:val="center"/>
        <w:rPr>
          <w:b/>
        </w:rPr>
      </w:pPr>
      <w:r w:rsidRPr="00495C1A">
        <w:rPr>
          <w:b/>
        </w:rPr>
        <w:t>Требования к срокам и (или) объему предоставления гарантии качества работ</w:t>
      </w:r>
    </w:p>
    <w:p w:rsidR="00B31978" w:rsidRPr="00495C1A" w:rsidRDefault="00B31978" w:rsidP="00CE6CEB">
      <w:pPr>
        <w:ind w:firstLine="567"/>
        <w:jc w:val="both"/>
      </w:pPr>
      <w:r w:rsidRPr="00495C1A">
        <w:t>Гарантийный срок на протез  устанавливается со дня выдачи готового изделия в эксплуатацию, а именно в течение этого срока предприятие-изготовитель производит замену или ремонт изделия бесплатно.</w:t>
      </w:r>
    </w:p>
    <w:p w:rsidR="00B31978" w:rsidRPr="00495C1A" w:rsidRDefault="00B31978" w:rsidP="00CE6CEB">
      <w:pPr>
        <w:ind w:firstLine="708"/>
        <w:jc w:val="center"/>
        <w:rPr>
          <w:b/>
        </w:rPr>
      </w:pPr>
      <w:r w:rsidRPr="00495C1A">
        <w:rPr>
          <w:b/>
        </w:rPr>
        <w:t>Место, условия и сроки (периоды) выполнения работ</w:t>
      </w:r>
    </w:p>
    <w:p w:rsidR="00B31978" w:rsidRPr="00495C1A" w:rsidRDefault="00B31978" w:rsidP="00CE6CEB">
      <w:pPr>
        <w:ind w:firstLine="567"/>
        <w:jc w:val="both"/>
      </w:pPr>
      <w:r w:rsidRPr="00495C1A">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p>
    <w:p w:rsidR="00B31978" w:rsidRDefault="00B31978" w:rsidP="00CE6CEB">
      <w:pPr>
        <w:ind w:firstLine="567"/>
        <w:jc w:val="both"/>
      </w:pPr>
      <w:r w:rsidRPr="00B31978">
        <w:t xml:space="preserve">Место выполнения работ: Российская Федерация, по месту нахождения Исполнителя. Выполнение работ по Государственному контракту осуществляется Исполнителем на основании сведения о Получателе, которому филиалом Заказчика выдано Направление на обеспечение изделием. Исполнитель должен обеспечить возможность обращения Получателя с Направлением и получения результата работ (изделия) (т.е. обеспечить проведение замеров, примерку и выдачу готового изделия) на территории г. Ростова-на-Дону и Ростовской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w:t>
      </w:r>
      <w:r w:rsidRPr="00B31978">
        <w:lastRenderedPageBreak/>
        <w:t>обращения Получателя с Направлением, а также выдачу результата работ (изделия) по месту жительства Получателя</w:t>
      </w:r>
      <w:r>
        <w:t>.</w:t>
      </w:r>
    </w:p>
    <w:p w:rsidR="00B31978" w:rsidRDefault="00B31978" w:rsidP="00CE6CEB">
      <w:pPr>
        <w:ind w:firstLine="567"/>
        <w:jc w:val="both"/>
        <w:rPr>
          <w:b/>
        </w:rPr>
      </w:pPr>
      <w:r w:rsidRPr="00495C1A">
        <w:t xml:space="preserve">Изготовление и выдача Получателю готового Изделия осуществляется в срок </w:t>
      </w:r>
      <w:r w:rsidRPr="00495C1A">
        <w:rPr>
          <w:b/>
        </w:rPr>
        <w:t xml:space="preserve">не более </w:t>
      </w:r>
      <w:r w:rsidR="00E627BB">
        <w:rPr>
          <w:b/>
        </w:rPr>
        <w:t>6</w:t>
      </w:r>
      <w:r w:rsidR="00DC1346">
        <w:rPr>
          <w:b/>
        </w:rPr>
        <w:t>0 (шестидесяти)</w:t>
      </w:r>
      <w:r w:rsidRPr="00495C1A">
        <w:rPr>
          <w:b/>
        </w:rPr>
        <w:t xml:space="preserve"> календарных дней</w:t>
      </w:r>
      <w:r w:rsidRPr="00495C1A">
        <w:t xml:space="preserve"> с момента получения Направления Получателя, </w:t>
      </w:r>
      <w:r w:rsidRPr="00DC1346">
        <w:rPr>
          <w:b/>
        </w:rPr>
        <w:t>но не позднее</w:t>
      </w:r>
      <w:r w:rsidRPr="00495C1A">
        <w:t xml:space="preserve"> </w:t>
      </w:r>
      <w:r w:rsidR="00DC1346">
        <w:rPr>
          <w:b/>
        </w:rPr>
        <w:t>30</w:t>
      </w:r>
      <w:r>
        <w:rPr>
          <w:b/>
        </w:rPr>
        <w:t>.</w:t>
      </w:r>
      <w:r w:rsidR="00DC1346">
        <w:rPr>
          <w:b/>
        </w:rPr>
        <w:t>0</w:t>
      </w:r>
      <w:r w:rsidR="004E4A43">
        <w:rPr>
          <w:b/>
        </w:rPr>
        <w:t>9</w:t>
      </w:r>
      <w:r w:rsidRPr="00495C1A">
        <w:rPr>
          <w:b/>
        </w:rPr>
        <w:t>.20</w:t>
      </w:r>
      <w:r>
        <w:rPr>
          <w:b/>
        </w:rPr>
        <w:t>2</w:t>
      </w:r>
      <w:r w:rsidR="00DC1346">
        <w:rPr>
          <w:b/>
        </w:rPr>
        <w:t>2</w:t>
      </w:r>
      <w:r w:rsidRPr="00495C1A">
        <w:rPr>
          <w:b/>
        </w:rPr>
        <w:t xml:space="preserve"> года.</w:t>
      </w:r>
    </w:p>
    <w:p w:rsidR="00B31978" w:rsidRPr="00495C1A" w:rsidRDefault="00B31978" w:rsidP="00316359">
      <w:pPr>
        <w:ind w:left="-567" w:firstLine="708"/>
        <w:jc w:val="center"/>
      </w:pPr>
    </w:p>
    <w:tbl>
      <w:tblPr>
        <w:tblW w:w="4954" w:type="pct"/>
        <w:jc w:val="center"/>
        <w:tblInd w:w="-587" w:type="dxa"/>
        <w:tblLayout w:type="fixed"/>
        <w:tblLook w:val="04A0" w:firstRow="1" w:lastRow="0" w:firstColumn="1" w:lastColumn="0" w:noHBand="0" w:noVBand="1"/>
      </w:tblPr>
      <w:tblGrid>
        <w:gridCol w:w="1603"/>
        <w:gridCol w:w="6099"/>
        <w:gridCol w:w="1012"/>
        <w:gridCol w:w="1330"/>
      </w:tblGrid>
      <w:tr w:rsidR="00316359" w:rsidRPr="00B31978" w:rsidTr="00316359">
        <w:trPr>
          <w:jc w:val="center"/>
        </w:trPr>
        <w:tc>
          <w:tcPr>
            <w:tcW w:w="798" w:type="pct"/>
            <w:tcBorders>
              <w:top w:val="single" w:sz="4" w:space="0" w:color="000000"/>
              <w:left w:val="single" w:sz="4" w:space="0" w:color="000000"/>
              <w:bottom w:val="single" w:sz="4" w:space="0" w:color="auto"/>
              <w:right w:val="nil"/>
            </w:tcBorders>
            <w:hideMark/>
          </w:tcPr>
          <w:p w:rsidR="00316359" w:rsidRPr="0022729A" w:rsidRDefault="00316359" w:rsidP="00B03C79">
            <w:pPr>
              <w:suppressAutoHyphens/>
              <w:jc w:val="center"/>
              <w:rPr>
                <w:rFonts w:eastAsia="Lucida Sans Unicode"/>
                <w:kern w:val="2"/>
                <w:sz w:val="22"/>
                <w:szCs w:val="22"/>
                <w:lang w:eastAsia="ar-SA"/>
              </w:rPr>
            </w:pPr>
            <w:r w:rsidRPr="0022729A">
              <w:rPr>
                <w:sz w:val="22"/>
                <w:szCs w:val="22"/>
                <w:lang w:eastAsia="ar-SA"/>
              </w:rPr>
              <w:t>Наименование изделия</w:t>
            </w:r>
          </w:p>
        </w:tc>
        <w:tc>
          <w:tcPr>
            <w:tcW w:w="3036" w:type="pct"/>
            <w:tcBorders>
              <w:top w:val="single" w:sz="4" w:space="0" w:color="000000"/>
              <w:left w:val="single" w:sz="4" w:space="0" w:color="000000"/>
              <w:bottom w:val="single" w:sz="4" w:space="0" w:color="auto"/>
              <w:right w:val="nil"/>
            </w:tcBorders>
            <w:hideMark/>
          </w:tcPr>
          <w:p w:rsidR="00316359" w:rsidRPr="0022729A" w:rsidRDefault="00316359" w:rsidP="0022729A">
            <w:pPr>
              <w:suppressAutoHyphens/>
              <w:snapToGrid w:val="0"/>
              <w:jc w:val="center"/>
              <w:rPr>
                <w:rFonts w:eastAsia="Lucida Sans Unicode"/>
                <w:kern w:val="2"/>
                <w:sz w:val="22"/>
                <w:szCs w:val="22"/>
                <w:lang w:eastAsia="ar-SA"/>
              </w:rPr>
            </w:pPr>
            <w:r w:rsidRPr="0022729A">
              <w:rPr>
                <w:sz w:val="22"/>
                <w:szCs w:val="22"/>
                <w:lang w:eastAsia="ar-SA"/>
              </w:rPr>
              <w:t>Функциональные</w:t>
            </w:r>
          </w:p>
          <w:p w:rsidR="00316359" w:rsidRPr="0022729A" w:rsidRDefault="00316359" w:rsidP="0022729A">
            <w:pPr>
              <w:suppressAutoHyphens/>
              <w:snapToGrid w:val="0"/>
              <w:jc w:val="center"/>
              <w:rPr>
                <w:sz w:val="22"/>
                <w:szCs w:val="22"/>
                <w:lang w:eastAsia="ar-SA"/>
              </w:rPr>
            </w:pPr>
            <w:r w:rsidRPr="0022729A">
              <w:rPr>
                <w:sz w:val="22"/>
                <w:szCs w:val="22"/>
                <w:lang w:eastAsia="ar-SA"/>
              </w:rPr>
              <w:t>характеристики</w:t>
            </w:r>
          </w:p>
          <w:p w:rsidR="00316359" w:rsidRPr="0022729A" w:rsidRDefault="00316359" w:rsidP="0022729A">
            <w:pPr>
              <w:suppressAutoHyphens/>
              <w:snapToGrid w:val="0"/>
              <w:spacing w:line="276" w:lineRule="auto"/>
              <w:jc w:val="center"/>
              <w:rPr>
                <w:rFonts w:eastAsia="Lucida Sans Unicode"/>
                <w:kern w:val="2"/>
                <w:sz w:val="22"/>
                <w:szCs w:val="22"/>
                <w:lang w:eastAsia="ar-SA"/>
              </w:rPr>
            </w:pPr>
            <w:r w:rsidRPr="0022729A">
              <w:rPr>
                <w:sz w:val="22"/>
                <w:szCs w:val="22"/>
                <w:lang w:eastAsia="ar-SA"/>
              </w:rPr>
              <w:t>изделия</w:t>
            </w:r>
          </w:p>
        </w:tc>
        <w:tc>
          <w:tcPr>
            <w:tcW w:w="504" w:type="pct"/>
            <w:tcBorders>
              <w:top w:val="single" w:sz="4" w:space="0" w:color="000000"/>
              <w:left w:val="single" w:sz="4" w:space="0" w:color="000000"/>
              <w:bottom w:val="single" w:sz="4" w:space="0" w:color="000000"/>
              <w:right w:val="nil"/>
            </w:tcBorders>
            <w:hideMark/>
          </w:tcPr>
          <w:p w:rsidR="00316359" w:rsidRPr="0022729A" w:rsidRDefault="00316359" w:rsidP="00B31978">
            <w:pPr>
              <w:suppressAutoHyphens/>
              <w:snapToGrid w:val="0"/>
              <w:jc w:val="center"/>
              <w:rPr>
                <w:rFonts w:eastAsia="Lucida Sans Unicode"/>
                <w:kern w:val="2"/>
                <w:sz w:val="22"/>
                <w:szCs w:val="22"/>
                <w:lang w:eastAsia="ar-SA"/>
              </w:rPr>
            </w:pPr>
            <w:r w:rsidRPr="0022729A">
              <w:rPr>
                <w:sz w:val="22"/>
                <w:szCs w:val="22"/>
                <w:lang w:eastAsia="ar-SA"/>
              </w:rPr>
              <w:t>Коли</w:t>
            </w:r>
            <w:r w:rsidRPr="0022729A">
              <w:rPr>
                <w:rFonts w:eastAsia="Lucida Sans Unicode"/>
                <w:kern w:val="2"/>
                <w:sz w:val="22"/>
                <w:szCs w:val="22"/>
                <w:lang w:eastAsia="ar-SA"/>
              </w:rPr>
              <w:t>ч</w:t>
            </w:r>
            <w:r w:rsidRPr="0022729A">
              <w:rPr>
                <w:sz w:val="22"/>
                <w:szCs w:val="22"/>
                <w:lang w:eastAsia="ar-SA"/>
              </w:rPr>
              <w:t>ество (шт.)</w:t>
            </w:r>
          </w:p>
        </w:tc>
        <w:tc>
          <w:tcPr>
            <w:tcW w:w="662" w:type="pct"/>
            <w:tcBorders>
              <w:top w:val="single" w:sz="4" w:space="0" w:color="000000"/>
              <w:left w:val="single" w:sz="4" w:space="0" w:color="000000"/>
              <w:bottom w:val="single" w:sz="4" w:space="0" w:color="000000"/>
              <w:right w:val="single" w:sz="4" w:space="0" w:color="000000"/>
            </w:tcBorders>
            <w:hideMark/>
          </w:tcPr>
          <w:p w:rsidR="00316359" w:rsidRPr="0022729A" w:rsidRDefault="00316359" w:rsidP="00B31978">
            <w:pPr>
              <w:suppressAutoHyphens/>
              <w:snapToGrid w:val="0"/>
              <w:jc w:val="center"/>
              <w:rPr>
                <w:rFonts w:eastAsia="Lucida Sans Unicode"/>
                <w:kern w:val="2"/>
                <w:sz w:val="22"/>
                <w:szCs w:val="22"/>
                <w:lang w:eastAsia="ar-SA"/>
              </w:rPr>
            </w:pPr>
            <w:r w:rsidRPr="0022729A">
              <w:rPr>
                <w:sz w:val="22"/>
                <w:szCs w:val="22"/>
                <w:lang w:eastAsia="ar-SA"/>
              </w:rPr>
              <w:t>Срок</w:t>
            </w:r>
          </w:p>
          <w:p w:rsidR="00316359" w:rsidRPr="0022729A" w:rsidRDefault="00316359" w:rsidP="00B31978">
            <w:pPr>
              <w:suppressAutoHyphens/>
              <w:snapToGrid w:val="0"/>
              <w:jc w:val="center"/>
              <w:rPr>
                <w:sz w:val="22"/>
                <w:szCs w:val="22"/>
                <w:lang w:eastAsia="ar-SA"/>
              </w:rPr>
            </w:pPr>
            <w:r w:rsidRPr="0022729A">
              <w:rPr>
                <w:sz w:val="22"/>
                <w:szCs w:val="22"/>
                <w:lang w:eastAsia="ar-SA"/>
              </w:rPr>
              <w:t>гарантии</w:t>
            </w:r>
          </w:p>
          <w:p w:rsidR="00316359" w:rsidRPr="0022729A" w:rsidRDefault="00316359" w:rsidP="00B31978">
            <w:pPr>
              <w:suppressAutoHyphens/>
              <w:snapToGrid w:val="0"/>
              <w:spacing w:line="276" w:lineRule="auto"/>
              <w:jc w:val="center"/>
              <w:rPr>
                <w:rFonts w:eastAsia="Lucida Sans Unicode"/>
                <w:kern w:val="2"/>
                <w:sz w:val="22"/>
                <w:szCs w:val="22"/>
                <w:lang w:eastAsia="ar-SA"/>
              </w:rPr>
            </w:pPr>
            <w:r w:rsidRPr="0022729A">
              <w:rPr>
                <w:sz w:val="22"/>
                <w:szCs w:val="22"/>
                <w:lang w:eastAsia="ar-SA"/>
              </w:rPr>
              <w:t>(месяцев)</w:t>
            </w:r>
          </w:p>
        </w:tc>
      </w:tr>
      <w:tr w:rsidR="00316359" w:rsidRPr="00B31978" w:rsidTr="00316359">
        <w:trPr>
          <w:jc w:val="center"/>
        </w:trPr>
        <w:tc>
          <w:tcPr>
            <w:tcW w:w="798" w:type="pct"/>
            <w:tcBorders>
              <w:top w:val="single" w:sz="4" w:space="0" w:color="auto"/>
              <w:left w:val="single" w:sz="4" w:space="0" w:color="000000"/>
              <w:bottom w:val="single" w:sz="4" w:space="0" w:color="auto"/>
              <w:right w:val="nil"/>
            </w:tcBorders>
          </w:tcPr>
          <w:p w:rsidR="00316359" w:rsidRPr="00B31978" w:rsidRDefault="00316359" w:rsidP="00514CDF">
            <w:pPr>
              <w:suppressAutoHyphens/>
              <w:snapToGrid w:val="0"/>
              <w:spacing w:line="276" w:lineRule="auto"/>
              <w:rPr>
                <w:rFonts w:eastAsia="Lucida Sans Unicode"/>
                <w:kern w:val="2"/>
                <w:sz w:val="22"/>
                <w:szCs w:val="22"/>
                <w:lang w:eastAsia="ar-SA"/>
              </w:rPr>
            </w:pPr>
            <w:r w:rsidRPr="00394D33">
              <w:rPr>
                <w:rFonts w:eastAsia="Lucida Sans Unicode"/>
                <w:kern w:val="2"/>
                <w:sz w:val="22"/>
                <w:szCs w:val="22"/>
                <w:lang w:eastAsia="ar-SA"/>
              </w:rPr>
              <w:t>Протез плеча с микропроцессорным управлением</w:t>
            </w:r>
          </w:p>
        </w:tc>
        <w:tc>
          <w:tcPr>
            <w:tcW w:w="3036" w:type="pct"/>
            <w:tcBorders>
              <w:top w:val="single" w:sz="4" w:space="0" w:color="auto"/>
              <w:left w:val="single" w:sz="4" w:space="0" w:color="000000"/>
              <w:bottom w:val="single" w:sz="4" w:space="0" w:color="auto"/>
              <w:right w:val="nil"/>
            </w:tcBorders>
          </w:tcPr>
          <w:p w:rsidR="00316359" w:rsidRPr="00291EEC" w:rsidRDefault="00316359" w:rsidP="006C411E">
            <w:pPr>
              <w:snapToGrid w:val="0"/>
              <w:spacing w:line="276" w:lineRule="auto"/>
              <w:jc w:val="both"/>
              <w:rPr>
                <w:rFonts w:eastAsia="Lucida Sans Unicode"/>
                <w:kern w:val="2"/>
                <w:sz w:val="22"/>
                <w:szCs w:val="22"/>
              </w:rPr>
            </w:pPr>
            <w:r w:rsidRPr="0022729A">
              <w:rPr>
                <w:rFonts w:eastAsia="Lucida Sans Unicode"/>
                <w:kern w:val="2"/>
                <w:sz w:val="22"/>
                <w:szCs w:val="22"/>
              </w:rPr>
              <w:t xml:space="preserve">Протез </w:t>
            </w:r>
            <w:r w:rsidR="006C411E" w:rsidRPr="006C411E">
              <w:rPr>
                <w:rFonts w:eastAsia="Lucida Sans Unicode"/>
                <w:kern w:val="2"/>
                <w:sz w:val="22"/>
                <w:szCs w:val="22"/>
              </w:rPr>
              <w:t xml:space="preserve">плеча </w:t>
            </w:r>
            <w:bookmarkStart w:id="0" w:name="_GoBack"/>
            <w:bookmarkEnd w:id="0"/>
            <w:r w:rsidRPr="0022729A">
              <w:rPr>
                <w:rFonts w:eastAsia="Lucida Sans Unicode"/>
                <w:kern w:val="2"/>
                <w:sz w:val="22"/>
                <w:szCs w:val="22"/>
              </w:rPr>
              <w:t xml:space="preserve">должен быть с </w:t>
            </w:r>
            <w:r w:rsidR="006C411E" w:rsidRPr="0022729A">
              <w:rPr>
                <w:rFonts w:eastAsia="Lucida Sans Unicode"/>
                <w:kern w:val="2"/>
                <w:sz w:val="22"/>
                <w:szCs w:val="22"/>
              </w:rPr>
              <w:t>микропроцессорным управлением</w:t>
            </w:r>
            <w:r w:rsidR="006C411E" w:rsidRPr="0022729A">
              <w:rPr>
                <w:rFonts w:eastAsia="Lucida Sans Unicode"/>
                <w:kern w:val="2"/>
                <w:sz w:val="22"/>
                <w:szCs w:val="22"/>
              </w:rPr>
              <w:t xml:space="preserve"> </w:t>
            </w:r>
            <w:r w:rsidRPr="0022729A">
              <w:rPr>
                <w:rFonts w:eastAsia="Lucida Sans Unicode"/>
                <w:kern w:val="2"/>
                <w:sz w:val="22"/>
                <w:szCs w:val="22"/>
              </w:rPr>
              <w:t>(протез плеча с</w:t>
            </w:r>
            <w:r w:rsidR="006C411E" w:rsidRPr="0022729A">
              <w:rPr>
                <w:rFonts w:eastAsia="Lucida Sans Unicode"/>
                <w:kern w:val="2"/>
                <w:sz w:val="22"/>
                <w:szCs w:val="22"/>
              </w:rPr>
              <w:t xml:space="preserve"> </w:t>
            </w:r>
            <w:r w:rsidR="006C411E" w:rsidRPr="0022729A">
              <w:rPr>
                <w:rFonts w:eastAsia="Lucida Sans Unicode"/>
                <w:kern w:val="2"/>
                <w:sz w:val="22"/>
                <w:szCs w:val="22"/>
              </w:rPr>
              <w:t>внешним источником энергии</w:t>
            </w:r>
            <w:r w:rsidRPr="0022729A">
              <w:rPr>
                <w:rFonts w:eastAsia="Lucida Sans Unicode"/>
                <w:kern w:val="2"/>
                <w:sz w:val="22"/>
                <w:szCs w:val="22"/>
              </w:rPr>
              <w:t xml:space="preserve">), индивидуального изготовления, с изготовлением приемной гильзы по слепку. Приемная гильза должна быть из термопласта. Постоянная гильза должна быть из слоистого пластика с применением композитных материалов и литьевых смол с вкладышем из высокотемпературного силикона или термопласта. Внутри приемной гильзы в проекции управляющих мышц должны быть расположены два датчика </w:t>
            </w:r>
            <w:proofErr w:type="spellStart"/>
            <w:r w:rsidRPr="0022729A">
              <w:rPr>
                <w:rFonts w:eastAsia="Lucida Sans Unicode"/>
                <w:kern w:val="2"/>
                <w:sz w:val="22"/>
                <w:szCs w:val="22"/>
              </w:rPr>
              <w:t>миосигналов</w:t>
            </w:r>
            <w:proofErr w:type="spellEnd"/>
            <w:r w:rsidRPr="0022729A">
              <w:rPr>
                <w:rFonts w:eastAsia="Lucida Sans Unicode"/>
                <w:kern w:val="2"/>
                <w:sz w:val="22"/>
                <w:szCs w:val="22"/>
              </w:rPr>
              <w:t xml:space="preserve">. Локтевой шарнир должен быть присоединен к несущей гильзе плеча с возможностью ротации в диапазоне не менее 200 градусов. Локтевой шарнир должен иметь встроенную электронную систему управления с настройками, задаваемыми из специального приложения на планшете при подключении по </w:t>
            </w:r>
            <w:proofErr w:type="spellStart"/>
            <w:r w:rsidRPr="0022729A">
              <w:rPr>
                <w:rFonts w:eastAsia="Lucida Sans Unicode"/>
                <w:kern w:val="2"/>
                <w:sz w:val="22"/>
                <w:szCs w:val="22"/>
              </w:rPr>
              <w:t>Bluetooth</w:t>
            </w:r>
            <w:proofErr w:type="spellEnd"/>
            <w:r w:rsidRPr="0022729A">
              <w:rPr>
                <w:rFonts w:eastAsia="Lucida Sans Unicode"/>
                <w:kern w:val="2"/>
                <w:sz w:val="22"/>
                <w:szCs w:val="22"/>
              </w:rPr>
              <w:t xml:space="preserve"> соединению. Система управления должна давать возможность раздельно настраивать усиление </w:t>
            </w:r>
            <w:proofErr w:type="spellStart"/>
            <w:r w:rsidRPr="0022729A">
              <w:rPr>
                <w:rFonts w:eastAsia="Lucida Sans Unicode"/>
                <w:kern w:val="2"/>
                <w:sz w:val="22"/>
                <w:szCs w:val="22"/>
              </w:rPr>
              <w:t>миосигналов</w:t>
            </w:r>
            <w:proofErr w:type="spellEnd"/>
            <w:r w:rsidRPr="0022729A">
              <w:rPr>
                <w:rFonts w:eastAsia="Lucida Sans Unicode"/>
                <w:kern w:val="2"/>
                <w:sz w:val="22"/>
                <w:szCs w:val="22"/>
              </w:rPr>
              <w:t xml:space="preserve">, а также верхний и нижний пороги срабатывания для каждой из степеней свободы и для переключения между ними, выбирать между альтернативными схемами управления, когда первый </w:t>
            </w:r>
            <w:proofErr w:type="gramStart"/>
            <w:r w:rsidRPr="0022729A">
              <w:rPr>
                <w:rFonts w:eastAsia="Lucida Sans Unicode"/>
                <w:kern w:val="2"/>
                <w:sz w:val="22"/>
                <w:szCs w:val="22"/>
              </w:rPr>
              <w:t>сигнал</w:t>
            </w:r>
            <w:proofErr w:type="gramEnd"/>
            <w:r w:rsidRPr="0022729A">
              <w:rPr>
                <w:rFonts w:eastAsia="Lucida Sans Unicode"/>
                <w:kern w:val="2"/>
                <w:sz w:val="22"/>
                <w:szCs w:val="22"/>
              </w:rPr>
              <w:t xml:space="preserve"> превысивший свой верхний порог получает управление устройством или максимальный из сигналов превысивших свои верхние пороги получает управление устройством, настраивать какой паттерн </w:t>
            </w:r>
            <w:proofErr w:type="spellStart"/>
            <w:r w:rsidRPr="0022729A">
              <w:rPr>
                <w:rFonts w:eastAsia="Lucida Sans Unicode"/>
                <w:kern w:val="2"/>
                <w:sz w:val="22"/>
                <w:szCs w:val="22"/>
              </w:rPr>
              <w:t>миосигналов</w:t>
            </w:r>
            <w:proofErr w:type="spellEnd"/>
            <w:r w:rsidRPr="0022729A">
              <w:rPr>
                <w:rFonts w:eastAsia="Lucida Sans Unicode"/>
                <w:kern w:val="2"/>
                <w:sz w:val="22"/>
                <w:szCs w:val="22"/>
              </w:rPr>
              <w:t xml:space="preserve"> будет отвечать за переключение </w:t>
            </w:r>
            <w:proofErr w:type="gramStart"/>
            <w:r w:rsidRPr="0022729A">
              <w:rPr>
                <w:rFonts w:eastAsia="Lucida Sans Unicode"/>
                <w:kern w:val="2"/>
                <w:sz w:val="22"/>
                <w:szCs w:val="22"/>
              </w:rPr>
              <w:t>между устройствами быстрая ко-контракция, медленная ко-контракция, двойной импульс или удержание сигнала выше порога в течение некоторого времени, устанавливать диапазон углов сгибания локтевого шарнира в пределах от -5 до 135 градусов, регулировать скорости сгибания/разгибания локтевого шарнира и открытия/закрытия кисти, устанавливать свой паттерн переключения для каждой из степеней свободы, управлять двумя устройствами одним сигналом в зависимости от скорости его фронта</w:t>
            </w:r>
            <w:proofErr w:type="gramEnd"/>
            <w:r w:rsidRPr="0022729A">
              <w:rPr>
                <w:rFonts w:eastAsia="Lucida Sans Unicode"/>
                <w:kern w:val="2"/>
                <w:sz w:val="22"/>
                <w:szCs w:val="22"/>
              </w:rPr>
              <w:t xml:space="preserve">.  Локтевой шарнир должен быть </w:t>
            </w:r>
            <w:proofErr w:type="spellStart"/>
            <w:r w:rsidRPr="0022729A">
              <w:rPr>
                <w:rFonts w:eastAsia="Lucida Sans Unicode"/>
                <w:kern w:val="2"/>
                <w:sz w:val="22"/>
                <w:szCs w:val="22"/>
              </w:rPr>
              <w:t>экзоскелетного</w:t>
            </w:r>
            <w:proofErr w:type="spellEnd"/>
            <w:r w:rsidRPr="0022729A">
              <w:rPr>
                <w:rFonts w:eastAsia="Lucida Sans Unicode"/>
                <w:kern w:val="2"/>
                <w:sz w:val="22"/>
                <w:szCs w:val="22"/>
              </w:rPr>
              <w:t xml:space="preserve"> типа с электромотором и обеспечивать скорость сгибания не менее 135 градусов в секунду, силу как сгибания, так и разгибания не менее 45Н, поднятие грузов весом до 4.3 кг, степень электрозащиты не менее IP22. Локтевой шарнир должен быть укомплектован двумя аккумуляторами емкостью не менее 3000 </w:t>
            </w:r>
            <w:proofErr w:type="spellStart"/>
            <w:r w:rsidRPr="0022729A">
              <w:rPr>
                <w:rFonts w:eastAsia="Lucida Sans Unicode"/>
                <w:kern w:val="2"/>
                <w:sz w:val="22"/>
                <w:szCs w:val="22"/>
              </w:rPr>
              <w:t>мАч</w:t>
            </w:r>
            <w:proofErr w:type="spellEnd"/>
            <w:r w:rsidRPr="0022729A">
              <w:rPr>
                <w:rFonts w:eastAsia="Lucida Sans Unicode"/>
                <w:kern w:val="2"/>
                <w:sz w:val="22"/>
                <w:szCs w:val="22"/>
              </w:rPr>
              <w:t xml:space="preserve"> и зарядным устройством к этим аккумуляторам. Минимальная рабочая высота локтевого шарнира не должна превышать 48 мм. Лучезапястный шарнир должен обеспечивать пассивную ротацию кисти. </w:t>
            </w:r>
            <w:proofErr w:type="gramStart"/>
            <w:r w:rsidRPr="0022729A">
              <w:rPr>
                <w:rFonts w:eastAsia="Lucida Sans Unicode"/>
                <w:kern w:val="2"/>
                <w:sz w:val="22"/>
                <w:szCs w:val="22"/>
              </w:rPr>
              <w:t xml:space="preserve">Кисть миоэлектрическая: с возможностью </w:t>
            </w:r>
            <w:r w:rsidRPr="0022729A">
              <w:rPr>
                <w:rFonts w:eastAsia="Lucida Sans Unicode"/>
                <w:kern w:val="2"/>
                <w:sz w:val="22"/>
                <w:szCs w:val="22"/>
              </w:rPr>
              <w:lastRenderedPageBreak/>
              <w:t>управления кистью как от двух, так и от одного электрода для пациентов, имеющих одну работоспособную группу мышц; с пропорциональным управлением скоростью и силой захвата 90Н, обеспечивающей естественную и скоординированную работу всех пяти пальцев, с повышенной скоростью и точностью движений, гарантирующих выполнение не менее 26 моделей схватов/жестов искусственной кисти.</w:t>
            </w:r>
            <w:proofErr w:type="gramEnd"/>
            <w:r w:rsidRPr="0022729A">
              <w:rPr>
                <w:rFonts w:eastAsia="Lucida Sans Unicode"/>
                <w:kern w:val="2"/>
                <w:sz w:val="22"/>
                <w:szCs w:val="22"/>
              </w:rPr>
              <w:t xml:space="preserve"> Большой палец кисти со сгибанием в шарнирах первой фаланги, с электронным управлением приведения/отведения и сгибания/разгибания. Пальцы со второго по пятый с электроуправлением, с подвижностью в </w:t>
            </w:r>
            <w:proofErr w:type="spellStart"/>
            <w:r w:rsidRPr="0022729A">
              <w:rPr>
                <w:rFonts w:eastAsia="Lucida Sans Unicode"/>
                <w:kern w:val="2"/>
                <w:sz w:val="22"/>
                <w:szCs w:val="22"/>
              </w:rPr>
              <w:t>пястнофаланговом</w:t>
            </w:r>
            <w:proofErr w:type="spellEnd"/>
            <w:r w:rsidRPr="0022729A">
              <w:rPr>
                <w:rFonts w:eastAsia="Lucida Sans Unicode"/>
                <w:kern w:val="2"/>
                <w:sz w:val="22"/>
                <w:szCs w:val="22"/>
              </w:rPr>
              <w:t xml:space="preserve"> и среднем шарнирах. Максимальная допустимая статическая нагрузка на каждый палец должна быть не менее 10 кг. Минимальное время </w:t>
            </w:r>
            <w:proofErr w:type="spellStart"/>
            <w:r w:rsidRPr="0022729A">
              <w:rPr>
                <w:rFonts w:eastAsia="Lucida Sans Unicode"/>
                <w:kern w:val="2"/>
                <w:sz w:val="22"/>
                <w:szCs w:val="22"/>
              </w:rPr>
              <w:t>схвата</w:t>
            </w:r>
            <w:proofErr w:type="spellEnd"/>
            <w:r w:rsidRPr="0022729A">
              <w:rPr>
                <w:rFonts w:eastAsia="Lucida Sans Unicode"/>
                <w:kern w:val="2"/>
                <w:sz w:val="22"/>
                <w:szCs w:val="22"/>
              </w:rPr>
              <w:t xml:space="preserve"> кисти из полностью открытой в сжатый кулак должно быть не более 1,2 секунды. С помощью программы пользователь должен иметь возможность настроить варианты миоэлектрических сигналов-триггеров и определенных жестов для переключения схватов. Регулировка чувствительности датчиков должна осуществляться механическим способом, а также дистанционно по </w:t>
            </w:r>
            <w:proofErr w:type="spellStart"/>
            <w:r w:rsidRPr="0022729A">
              <w:rPr>
                <w:rFonts w:eastAsia="Lucida Sans Unicode"/>
                <w:kern w:val="2"/>
                <w:sz w:val="22"/>
                <w:szCs w:val="22"/>
              </w:rPr>
              <w:t>Bluetooth</w:t>
            </w:r>
            <w:proofErr w:type="spellEnd"/>
            <w:r w:rsidRPr="0022729A">
              <w:rPr>
                <w:rFonts w:eastAsia="Lucida Sans Unicode"/>
                <w:kern w:val="2"/>
                <w:sz w:val="22"/>
                <w:szCs w:val="22"/>
              </w:rPr>
              <w:t xml:space="preserve"> соединению с помощью приложения или </w:t>
            </w:r>
            <w:proofErr w:type="spellStart"/>
            <w:r w:rsidRPr="0022729A">
              <w:rPr>
                <w:rFonts w:eastAsia="Lucida Sans Unicode"/>
                <w:kern w:val="2"/>
                <w:sz w:val="22"/>
                <w:szCs w:val="22"/>
              </w:rPr>
              <w:t>програмы</w:t>
            </w:r>
            <w:proofErr w:type="spellEnd"/>
            <w:r w:rsidRPr="0022729A">
              <w:rPr>
                <w:rFonts w:eastAsia="Lucida Sans Unicode"/>
                <w:kern w:val="2"/>
                <w:sz w:val="22"/>
                <w:szCs w:val="22"/>
              </w:rPr>
              <w:t xml:space="preserve">, установленной на компьютере. Кисть должна иметь сенсорный дисплей для возможности переключения и изменения жестов/схватов при помощи здоровой руки. </w:t>
            </w:r>
            <w:proofErr w:type="spellStart"/>
            <w:r w:rsidRPr="0022729A">
              <w:rPr>
                <w:rFonts w:eastAsia="Lucida Sans Unicode"/>
                <w:kern w:val="2"/>
                <w:sz w:val="22"/>
                <w:szCs w:val="22"/>
              </w:rPr>
              <w:t>Пылевлагозащита</w:t>
            </w:r>
            <w:proofErr w:type="spellEnd"/>
            <w:r w:rsidRPr="0022729A">
              <w:rPr>
                <w:rFonts w:eastAsia="Lucida Sans Unicode"/>
                <w:kern w:val="2"/>
                <w:sz w:val="22"/>
                <w:szCs w:val="22"/>
              </w:rPr>
              <w:t xml:space="preserve"> кисти должна поддерживаться стандартом IP54. На кисти должен быть расположен индикатор уровня заряда. Пальцы должны обладать функцией амортизации предмета при </w:t>
            </w:r>
            <w:proofErr w:type="spellStart"/>
            <w:r w:rsidRPr="0022729A">
              <w:rPr>
                <w:rFonts w:eastAsia="Lucida Sans Unicode"/>
                <w:kern w:val="2"/>
                <w:sz w:val="22"/>
                <w:szCs w:val="22"/>
              </w:rPr>
              <w:t>схвате</w:t>
            </w:r>
            <w:proofErr w:type="spellEnd"/>
            <w:r w:rsidRPr="0022729A">
              <w:rPr>
                <w:rFonts w:eastAsia="Lucida Sans Unicode"/>
                <w:kern w:val="2"/>
                <w:sz w:val="22"/>
                <w:szCs w:val="22"/>
              </w:rPr>
              <w:t>. Крепление должно быть индивидуальное подгоночное.</w:t>
            </w:r>
          </w:p>
        </w:tc>
        <w:tc>
          <w:tcPr>
            <w:tcW w:w="504" w:type="pct"/>
            <w:tcBorders>
              <w:top w:val="single" w:sz="4" w:space="0" w:color="000000"/>
              <w:left w:val="single" w:sz="4" w:space="0" w:color="000000"/>
              <w:bottom w:val="single" w:sz="4" w:space="0" w:color="000000"/>
              <w:right w:val="nil"/>
            </w:tcBorders>
          </w:tcPr>
          <w:p w:rsidR="00316359" w:rsidRPr="00B31978" w:rsidRDefault="00316359" w:rsidP="00B31978">
            <w:pPr>
              <w:suppressAutoHyphens/>
              <w:snapToGrid w:val="0"/>
              <w:spacing w:line="276" w:lineRule="auto"/>
              <w:jc w:val="center"/>
              <w:rPr>
                <w:rFonts w:eastAsia="Lucida Sans Unicode"/>
                <w:kern w:val="2"/>
                <w:sz w:val="22"/>
                <w:szCs w:val="22"/>
                <w:lang w:eastAsia="ar-SA"/>
              </w:rPr>
            </w:pPr>
            <w:r w:rsidRPr="00B31978">
              <w:rPr>
                <w:rFonts w:eastAsia="Lucida Sans Unicode"/>
                <w:kern w:val="2"/>
                <w:sz w:val="22"/>
                <w:szCs w:val="22"/>
                <w:lang w:eastAsia="ar-SA"/>
              </w:rPr>
              <w:lastRenderedPageBreak/>
              <w:t>1</w:t>
            </w:r>
          </w:p>
        </w:tc>
        <w:tc>
          <w:tcPr>
            <w:tcW w:w="662" w:type="pct"/>
            <w:tcBorders>
              <w:top w:val="single" w:sz="4" w:space="0" w:color="000000"/>
              <w:left w:val="single" w:sz="4" w:space="0" w:color="000000"/>
              <w:bottom w:val="single" w:sz="4" w:space="0" w:color="000000"/>
              <w:right w:val="single" w:sz="4" w:space="0" w:color="000000"/>
            </w:tcBorders>
          </w:tcPr>
          <w:p w:rsidR="00316359" w:rsidRPr="00B31978" w:rsidRDefault="00316359" w:rsidP="00B31978">
            <w:pPr>
              <w:suppressAutoHyphens/>
              <w:snapToGrid w:val="0"/>
              <w:spacing w:line="276" w:lineRule="auto"/>
              <w:rPr>
                <w:rFonts w:eastAsia="Lucida Sans Unicode"/>
                <w:kern w:val="2"/>
                <w:sz w:val="22"/>
                <w:szCs w:val="22"/>
                <w:lang w:eastAsia="ar-SA"/>
              </w:rPr>
            </w:pPr>
            <w:r w:rsidRPr="00B31978">
              <w:rPr>
                <w:rFonts w:eastAsia="Lucida Sans Unicode"/>
                <w:kern w:val="2"/>
                <w:sz w:val="22"/>
                <w:szCs w:val="22"/>
                <w:lang w:eastAsia="ar-SA"/>
              </w:rPr>
              <w:t>Не менее  12 месяцев</w:t>
            </w:r>
          </w:p>
        </w:tc>
      </w:tr>
    </w:tbl>
    <w:p w:rsidR="008D1199" w:rsidRDefault="008D1199" w:rsidP="008D1199">
      <w:pPr>
        <w:ind w:right="-1" w:firstLine="709"/>
        <w:jc w:val="both"/>
        <w:rPr>
          <w:bCs/>
          <w:iCs/>
        </w:rPr>
      </w:pPr>
    </w:p>
    <w:p w:rsidR="00BC7C90" w:rsidRPr="00BC7C90" w:rsidRDefault="00BC7C90" w:rsidP="008D1199">
      <w:pPr>
        <w:ind w:right="-1"/>
        <w:jc w:val="both"/>
      </w:pPr>
    </w:p>
    <w:sectPr w:rsidR="00BC7C90" w:rsidRPr="00BC7C90" w:rsidSect="00CE6CEB">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1442C"/>
    <w:rsid w:val="000400E0"/>
    <w:rsid w:val="00041E30"/>
    <w:rsid w:val="000526FD"/>
    <w:rsid w:val="00055A99"/>
    <w:rsid w:val="00073D40"/>
    <w:rsid w:val="000802A5"/>
    <w:rsid w:val="00081FED"/>
    <w:rsid w:val="0008360D"/>
    <w:rsid w:val="000839F8"/>
    <w:rsid w:val="00095D84"/>
    <w:rsid w:val="0009708D"/>
    <w:rsid w:val="00097107"/>
    <w:rsid w:val="000A401A"/>
    <w:rsid w:val="000B3D0E"/>
    <w:rsid w:val="000C0F42"/>
    <w:rsid w:val="000D2A53"/>
    <w:rsid w:val="000E0E19"/>
    <w:rsid w:val="000F6DE8"/>
    <w:rsid w:val="001031C3"/>
    <w:rsid w:val="001432D1"/>
    <w:rsid w:val="00167ED1"/>
    <w:rsid w:val="00177471"/>
    <w:rsid w:val="001A0A73"/>
    <w:rsid w:val="001B04F3"/>
    <w:rsid w:val="001B3353"/>
    <w:rsid w:val="001C6823"/>
    <w:rsid w:val="001E185A"/>
    <w:rsid w:val="001E60BE"/>
    <w:rsid w:val="001F7464"/>
    <w:rsid w:val="001F777D"/>
    <w:rsid w:val="0022729A"/>
    <w:rsid w:val="002552CB"/>
    <w:rsid w:val="002736E9"/>
    <w:rsid w:val="00291B4E"/>
    <w:rsid w:val="002A002E"/>
    <w:rsid w:val="002A3E99"/>
    <w:rsid w:val="002A5850"/>
    <w:rsid w:val="002A7341"/>
    <w:rsid w:val="002C0C5A"/>
    <w:rsid w:val="002C522D"/>
    <w:rsid w:val="002E16BD"/>
    <w:rsid w:val="002E5CDD"/>
    <w:rsid w:val="002E71FA"/>
    <w:rsid w:val="002F129E"/>
    <w:rsid w:val="002F2046"/>
    <w:rsid w:val="002F2320"/>
    <w:rsid w:val="002F5E14"/>
    <w:rsid w:val="003029AB"/>
    <w:rsid w:val="00316359"/>
    <w:rsid w:val="003212A6"/>
    <w:rsid w:val="00335A44"/>
    <w:rsid w:val="00337FDB"/>
    <w:rsid w:val="00346E2B"/>
    <w:rsid w:val="00361652"/>
    <w:rsid w:val="00364584"/>
    <w:rsid w:val="00366B88"/>
    <w:rsid w:val="00381C74"/>
    <w:rsid w:val="0038742C"/>
    <w:rsid w:val="0039280D"/>
    <w:rsid w:val="00394D33"/>
    <w:rsid w:val="003A45B3"/>
    <w:rsid w:val="003B4AC3"/>
    <w:rsid w:val="003F390B"/>
    <w:rsid w:val="004036D8"/>
    <w:rsid w:val="0040604C"/>
    <w:rsid w:val="00430FF1"/>
    <w:rsid w:val="00443722"/>
    <w:rsid w:val="00493504"/>
    <w:rsid w:val="00495C1A"/>
    <w:rsid w:val="004A177C"/>
    <w:rsid w:val="004B3975"/>
    <w:rsid w:val="004B3DF6"/>
    <w:rsid w:val="004B696A"/>
    <w:rsid w:val="004E4A43"/>
    <w:rsid w:val="004E58AF"/>
    <w:rsid w:val="00514CDF"/>
    <w:rsid w:val="00525D22"/>
    <w:rsid w:val="00534CDD"/>
    <w:rsid w:val="00580D60"/>
    <w:rsid w:val="005B05F1"/>
    <w:rsid w:val="005E09A8"/>
    <w:rsid w:val="005F2B02"/>
    <w:rsid w:val="00653C97"/>
    <w:rsid w:val="00655DB6"/>
    <w:rsid w:val="00693909"/>
    <w:rsid w:val="006C411E"/>
    <w:rsid w:val="006E0B0C"/>
    <w:rsid w:val="006E689E"/>
    <w:rsid w:val="006F31C6"/>
    <w:rsid w:val="007036F4"/>
    <w:rsid w:val="00710C6E"/>
    <w:rsid w:val="00712549"/>
    <w:rsid w:val="00720E34"/>
    <w:rsid w:val="00723168"/>
    <w:rsid w:val="00733E28"/>
    <w:rsid w:val="007428A0"/>
    <w:rsid w:val="00757E40"/>
    <w:rsid w:val="007736B9"/>
    <w:rsid w:val="00783542"/>
    <w:rsid w:val="00784883"/>
    <w:rsid w:val="007A3354"/>
    <w:rsid w:val="007B46B3"/>
    <w:rsid w:val="007C3B66"/>
    <w:rsid w:val="007D66C6"/>
    <w:rsid w:val="007E5070"/>
    <w:rsid w:val="007F4EE3"/>
    <w:rsid w:val="00837F3E"/>
    <w:rsid w:val="008414BC"/>
    <w:rsid w:val="0085210B"/>
    <w:rsid w:val="00884380"/>
    <w:rsid w:val="00890FE8"/>
    <w:rsid w:val="008A1274"/>
    <w:rsid w:val="008C6B9A"/>
    <w:rsid w:val="008D1199"/>
    <w:rsid w:val="008E4658"/>
    <w:rsid w:val="008E56F0"/>
    <w:rsid w:val="008F5647"/>
    <w:rsid w:val="009172D9"/>
    <w:rsid w:val="00920166"/>
    <w:rsid w:val="00925FAA"/>
    <w:rsid w:val="00936D8F"/>
    <w:rsid w:val="009407F1"/>
    <w:rsid w:val="00962B64"/>
    <w:rsid w:val="009C5618"/>
    <w:rsid w:val="009D598E"/>
    <w:rsid w:val="00A011C6"/>
    <w:rsid w:val="00A133D6"/>
    <w:rsid w:val="00A15540"/>
    <w:rsid w:val="00A27DE2"/>
    <w:rsid w:val="00A43D21"/>
    <w:rsid w:val="00A45C5C"/>
    <w:rsid w:val="00A47FC4"/>
    <w:rsid w:val="00A565CF"/>
    <w:rsid w:val="00A752C6"/>
    <w:rsid w:val="00A772BE"/>
    <w:rsid w:val="00A86F01"/>
    <w:rsid w:val="00A876CD"/>
    <w:rsid w:val="00A8777B"/>
    <w:rsid w:val="00A932DA"/>
    <w:rsid w:val="00AC3CC4"/>
    <w:rsid w:val="00AD03B9"/>
    <w:rsid w:val="00AF3B28"/>
    <w:rsid w:val="00B03C79"/>
    <w:rsid w:val="00B27DE0"/>
    <w:rsid w:val="00B31978"/>
    <w:rsid w:val="00B93484"/>
    <w:rsid w:val="00B9547A"/>
    <w:rsid w:val="00B968E5"/>
    <w:rsid w:val="00BA1B53"/>
    <w:rsid w:val="00BA1D8D"/>
    <w:rsid w:val="00BB453E"/>
    <w:rsid w:val="00BB47C4"/>
    <w:rsid w:val="00BB7437"/>
    <w:rsid w:val="00BC7C90"/>
    <w:rsid w:val="00C0371E"/>
    <w:rsid w:val="00C105EF"/>
    <w:rsid w:val="00C14ED8"/>
    <w:rsid w:val="00C20776"/>
    <w:rsid w:val="00C21B89"/>
    <w:rsid w:val="00C30921"/>
    <w:rsid w:val="00C42751"/>
    <w:rsid w:val="00CB4B42"/>
    <w:rsid w:val="00CB5086"/>
    <w:rsid w:val="00CC08BB"/>
    <w:rsid w:val="00CC6212"/>
    <w:rsid w:val="00CE0CAD"/>
    <w:rsid w:val="00CE6CEB"/>
    <w:rsid w:val="00D075BF"/>
    <w:rsid w:val="00D426AB"/>
    <w:rsid w:val="00D642D9"/>
    <w:rsid w:val="00D83604"/>
    <w:rsid w:val="00D914E1"/>
    <w:rsid w:val="00D95546"/>
    <w:rsid w:val="00DC1346"/>
    <w:rsid w:val="00DC5CC0"/>
    <w:rsid w:val="00DF4E71"/>
    <w:rsid w:val="00DF7420"/>
    <w:rsid w:val="00E11629"/>
    <w:rsid w:val="00E14833"/>
    <w:rsid w:val="00E156A1"/>
    <w:rsid w:val="00E40B7E"/>
    <w:rsid w:val="00E509B3"/>
    <w:rsid w:val="00E52751"/>
    <w:rsid w:val="00E536C6"/>
    <w:rsid w:val="00E627BB"/>
    <w:rsid w:val="00E64C6E"/>
    <w:rsid w:val="00E926B6"/>
    <w:rsid w:val="00E952DA"/>
    <w:rsid w:val="00EA0E05"/>
    <w:rsid w:val="00EB782D"/>
    <w:rsid w:val="00EC0682"/>
    <w:rsid w:val="00EC3A74"/>
    <w:rsid w:val="00EC49D7"/>
    <w:rsid w:val="00ED2E73"/>
    <w:rsid w:val="00EF0FE5"/>
    <w:rsid w:val="00EF5852"/>
    <w:rsid w:val="00F23AFB"/>
    <w:rsid w:val="00F63832"/>
    <w:rsid w:val="00F63FAB"/>
    <w:rsid w:val="00FA00CC"/>
    <w:rsid w:val="00FA15D5"/>
    <w:rsid w:val="00FB0976"/>
    <w:rsid w:val="00FC39E2"/>
    <w:rsid w:val="00FC7220"/>
    <w:rsid w:val="00FD1B1F"/>
    <w:rsid w:val="00FD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3650">
      <w:bodyDiv w:val="1"/>
      <w:marLeft w:val="0"/>
      <w:marRight w:val="0"/>
      <w:marTop w:val="0"/>
      <w:marBottom w:val="0"/>
      <w:divBdr>
        <w:top w:val="none" w:sz="0" w:space="0" w:color="auto"/>
        <w:left w:val="none" w:sz="0" w:space="0" w:color="auto"/>
        <w:bottom w:val="none" w:sz="0" w:space="0" w:color="auto"/>
        <w:right w:val="none" w:sz="0" w:space="0" w:color="auto"/>
      </w:divBdr>
    </w:div>
    <w:div w:id="1357463038">
      <w:bodyDiv w:val="1"/>
      <w:marLeft w:val="0"/>
      <w:marRight w:val="0"/>
      <w:marTop w:val="0"/>
      <w:marBottom w:val="0"/>
      <w:divBdr>
        <w:top w:val="none" w:sz="0" w:space="0" w:color="auto"/>
        <w:left w:val="none" w:sz="0" w:space="0" w:color="auto"/>
        <w:bottom w:val="none" w:sz="0" w:space="0" w:color="auto"/>
        <w:right w:val="none" w:sz="0" w:space="0" w:color="auto"/>
      </w:divBdr>
    </w:div>
    <w:div w:id="1620642140">
      <w:bodyDiv w:val="1"/>
      <w:marLeft w:val="0"/>
      <w:marRight w:val="0"/>
      <w:marTop w:val="0"/>
      <w:marBottom w:val="0"/>
      <w:divBdr>
        <w:top w:val="none" w:sz="0" w:space="0" w:color="auto"/>
        <w:left w:val="none" w:sz="0" w:space="0" w:color="auto"/>
        <w:bottom w:val="none" w:sz="0" w:space="0" w:color="auto"/>
        <w:right w:val="none" w:sz="0" w:space="0" w:color="auto"/>
      </w:divBdr>
    </w:div>
    <w:div w:id="18169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Абрамова Людмила Александровна</cp:lastModifiedBy>
  <cp:revision>272</cp:revision>
  <cp:lastPrinted>2022-02-24T13:11:00Z</cp:lastPrinted>
  <dcterms:created xsi:type="dcterms:W3CDTF">2018-10-04T14:34:00Z</dcterms:created>
  <dcterms:modified xsi:type="dcterms:W3CDTF">2022-05-30T06:25:00Z</dcterms:modified>
</cp:coreProperties>
</file>