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E1" w:rsidRDefault="00577EC7" w:rsidP="00FC3EE1">
      <w:pPr>
        <w:pStyle w:val="1"/>
        <w:widowControl w:val="0"/>
        <w:suppressAutoHyphens w:val="0"/>
        <w:ind w:firstLine="0"/>
        <w:jc w:val="right"/>
        <w:rPr>
          <w:rFonts w:eastAsia="Calibri"/>
          <w:i/>
          <w:sz w:val="22"/>
          <w:szCs w:val="22"/>
          <w:lang w:eastAsia="en-US"/>
        </w:rPr>
      </w:pPr>
      <w:r w:rsidRPr="00287581">
        <w:rPr>
          <w:rFonts w:eastAsia="Calibri"/>
          <w:i/>
          <w:sz w:val="22"/>
          <w:szCs w:val="22"/>
          <w:lang w:eastAsia="en-US"/>
        </w:rPr>
        <w:t xml:space="preserve">Приложение 1 к извещению об </w:t>
      </w:r>
    </w:p>
    <w:p w:rsidR="00577EC7" w:rsidRPr="00287581" w:rsidRDefault="00577EC7" w:rsidP="00FC3EE1">
      <w:pPr>
        <w:pStyle w:val="1"/>
        <w:widowControl w:val="0"/>
        <w:suppressAutoHyphens w:val="0"/>
        <w:ind w:firstLine="0"/>
        <w:jc w:val="right"/>
        <w:rPr>
          <w:i/>
          <w:sz w:val="26"/>
          <w:szCs w:val="26"/>
        </w:rPr>
      </w:pPr>
      <w:r w:rsidRPr="00287581">
        <w:rPr>
          <w:rFonts w:eastAsia="Calibri"/>
          <w:i/>
          <w:sz w:val="22"/>
          <w:szCs w:val="22"/>
          <w:lang w:eastAsia="en-US"/>
        </w:rPr>
        <w:t>осуществлении закупки</w:t>
      </w:r>
    </w:p>
    <w:p w:rsidR="001A726E" w:rsidRDefault="009C69D2" w:rsidP="00FC3EE1">
      <w:pPr>
        <w:widowControl w:val="0"/>
        <w:tabs>
          <w:tab w:val="left" w:pos="7655"/>
        </w:tabs>
        <w:suppressAutoHyphens w:val="0"/>
        <w:jc w:val="center"/>
        <w:rPr>
          <w:rFonts w:eastAsia="Calibri"/>
          <w:b/>
          <w:bCs/>
          <w:color w:val="000000"/>
          <w:lang w:eastAsia="en-US"/>
        </w:rPr>
      </w:pPr>
      <w:r w:rsidRPr="007F71A8">
        <w:rPr>
          <w:b/>
          <w:lang w:eastAsia="ru-RU"/>
        </w:rPr>
        <w:t>Описание объекта закупки</w:t>
      </w:r>
      <w:r w:rsidR="000330DE" w:rsidRPr="000330DE">
        <w:rPr>
          <w:rFonts w:eastAsia="Calibri"/>
          <w:b/>
          <w:bCs/>
          <w:color w:val="000000"/>
          <w:lang w:eastAsia="en-US"/>
        </w:rPr>
        <w:t xml:space="preserve"> </w:t>
      </w:r>
    </w:p>
    <w:p w:rsidR="00FC3EE1" w:rsidRPr="00FC3EE1" w:rsidRDefault="00FC3EE1" w:rsidP="00FC3EE1">
      <w:pPr>
        <w:widowControl w:val="0"/>
        <w:tabs>
          <w:tab w:val="center" w:pos="4677"/>
          <w:tab w:val="center" w:pos="6379"/>
          <w:tab w:val="left" w:pos="8085"/>
          <w:tab w:val="right" w:pos="9355"/>
        </w:tabs>
        <w:suppressAutoHyphens w:val="0"/>
        <w:jc w:val="center"/>
        <w:rPr>
          <w:b/>
        </w:rPr>
      </w:pPr>
      <w:r w:rsidRPr="00FC3EE1">
        <w:rPr>
          <w:b/>
        </w:rPr>
        <w:t xml:space="preserve">на поставку инвалиду в 2023 году слуховых аппаратов костной </w:t>
      </w:r>
    </w:p>
    <w:p w:rsidR="00FC3EE1" w:rsidRPr="00FC3EE1" w:rsidRDefault="00FC3EE1" w:rsidP="00FC3EE1">
      <w:pPr>
        <w:widowControl w:val="0"/>
        <w:tabs>
          <w:tab w:val="center" w:pos="4677"/>
          <w:tab w:val="center" w:pos="6379"/>
          <w:tab w:val="left" w:pos="8085"/>
          <w:tab w:val="right" w:pos="9355"/>
        </w:tabs>
        <w:suppressAutoHyphens w:val="0"/>
        <w:jc w:val="center"/>
        <w:rPr>
          <w:b/>
        </w:rPr>
      </w:pPr>
      <w:r w:rsidRPr="00FC3EE1">
        <w:rPr>
          <w:b/>
        </w:rPr>
        <w:t>проводимости (</w:t>
      </w:r>
      <w:proofErr w:type="spellStart"/>
      <w:r w:rsidRPr="00FC3EE1">
        <w:rPr>
          <w:b/>
        </w:rPr>
        <w:t>неимлантируемых</w:t>
      </w:r>
      <w:proofErr w:type="spellEnd"/>
      <w:r w:rsidRPr="00FC3EE1">
        <w:rPr>
          <w:b/>
        </w:rPr>
        <w:t>)</w:t>
      </w:r>
    </w:p>
    <w:p w:rsidR="00FC3EE1" w:rsidRPr="00FC3EE1" w:rsidRDefault="00FC3EE1" w:rsidP="00FC3EE1">
      <w:pPr>
        <w:widowControl w:val="0"/>
        <w:tabs>
          <w:tab w:val="center" w:pos="4677"/>
          <w:tab w:val="center" w:pos="6379"/>
          <w:tab w:val="left" w:pos="8085"/>
          <w:tab w:val="right" w:pos="9355"/>
        </w:tabs>
        <w:suppressAutoHyphens w:val="0"/>
        <w:jc w:val="center"/>
        <w:rPr>
          <w:b/>
        </w:rPr>
      </w:pPr>
    </w:p>
    <w:p w:rsidR="00FC3EE1" w:rsidRPr="00FC3EE1" w:rsidRDefault="00FC3EE1" w:rsidP="00FC3EE1">
      <w:pPr>
        <w:widowControl w:val="0"/>
        <w:tabs>
          <w:tab w:val="center" w:pos="4677"/>
          <w:tab w:val="center" w:pos="6379"/>
          <w:tab w:val="left" w:pos="8085"/>
          <w:tab w:val="right" w:pos="9355"/>
        </w:tabs>
        <w:suppressAutoHyphens w:val="0"/>
        <w:ind w:firstLine="567"/>
        <w:jc w:val="both"/>
      </w:pPr>
      <w:r w:rsidRPr="00FC3EE1">
        <w:rPr>
          <w:spacing w:val="-1"/>
          <w:lang w:eastAsia="ru-RU"/>
        </w:rPr>
        <w:t>Слуховые аппараты – это электроакустические звукоусиливающие устройства, носимые человеком и предназначенные для компенсации ограничений жизнедеятельности.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spacing w:val="-1"/>
          <w:lang w:eastAsia="ru-RU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«Аппараты слуховые электронные реабилитационные. Технические требования и методы испытаний».</w:t>
      </w:r>
      <w:r w:rsidRPr="00FC3EE1">
        <w:rPr>
          <w:rFonts w:eastAsia="Calibri"/>
          <w:color w:val="000000"/>
          <w:lang w:eastAsia="ru-RU"/>
        </w:rPr>
        <w:t xml:space="preserve"> 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lang w:eastAsia="ru-RU"/>
        </w:rPr>
        <w:t xml:space="preserve">Общие требования к слуховым аппаратам устанавливаются в соответствии с: 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lang w:eastAsia="ru-RU"/>
        </w:rPr>
        <w:t xml:space="preserve">ГОСТ Р ИСО 9999-2019 «Вспомогательные средства для людей с ограничениями жизнедеятельности. Классификация и терминология», 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lang w:eastAsia="ru-RU"/>
        </w:rPr>
        <w:t xml:space="preserve">ГОСТ Р 50444-2020 «Приборы, аппараты и оборудование медицинские. Общие технические условия», 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испытаний»,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highlight w:val="yellow"/>
          <w:lang w:eastAsia="ru-RU"/>
        </w:rPr>
      </w:pPr>
      <w:r w:rsidRPr="00FC3EE1">
        <w:rPr>
          <w:rFonts w:eastAsia="Calibri"/>
          <w:color w:val="000000"/>
          <w:lang w:eastAsia="ru-RU"/>
        </w:rPr>
        <w:t>ГОСТ Р МЭК 60118-7-2013 Национальный стандарт Российской Федерации. Электроакустика. Аппараты слуховые. Часть 7. Измерение рабочих характеристик слуховых аппаратов для обеспечения качества при производстве и поставке»,</w:t>
      </w:r>
    </w:p>
    <w:p w:rsidR="00FC3EE1" w:rsidRPr="00FC3EE1" w:rsidRDefault="00FC3EE1" w:rsidP="00FC3EE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FC3EE1">
        <w:rPr>
          <w:rFonts w:eastAsia="Calibri"/>
          <w:color w:val="000000"/>
          <w:lang w:eastAsia="ru-RU"/>
        </w:rPr>
        <w:t xml:space="preserve"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 </w:t>
      </w:r>
    </w:p>
    <w:p w:rsidR="00FC3EE1" w:rsidRPr="00FC3EE1" w:rsidRDefault="00FC3EE1" w:rsidP="00FC3EE1">
      <w:pPr>
        <w:widowControl w:val="0"/>
        <w:shd w:val="clear" w:color="auto" w:fill="FFFFFF"/>
        <w:suppressAutoHyphens w:val="0"/>
        <w:ind w:firstLine="567"/>
        <w:jc w:val="both"/>
      </w:pPr>
      <w:r w:rsidRPr="00FC3EE1">
        <w:t xml:space="preserve">Сырье и материалы для изготовления слухового аппарата должны соответствовать требованиям биологической безопасности по ГОСТ </w:t>
      </w:r>
      <w:r w:rsidRPr="00FC3EE1">
        <w:rPr>
          <w:lang w:val="en-US"/>
        </w:rPr>
        <w:t>ISO</w:t>
      </w:r>
      <w:r w:rsidRPr="00FC3EE1">
        <w:t xml:space="preserve"> 10993-1-2021, ГОСТ </w:t>
      </w:r>
      <w:r w:rsidRPr="00FC3EE1">
        <w:rPr>
          <w:lang w:val="en-US"/>
        </w:rPr>
        <w:t>ISO</w:t>
      </w:r>
      <w:r w:rsidRPr="00FC3EE1">
        <w:t xml:space="preserve"> 10993-5-2011, ГОСТ </w:t>
      </w:r>
      <w:r w:rsidRPr="00FC3EE1">
        <w:rPr>
          <w:lang w:val="en-US"/>
        </w:rPr>
        <w:t>ISO</w:t>
      </w:r>
      <w:r w:rsidRPr="00FC3EE1">
        <w:t xml:space="preserve"> 10993-10-2011, ГОСТ Р 52770-2016.</w:t>
      </w:r>
    </w:p>
    <w:p w:rsidR="00FC3EE1" w:rsidRPr="00FC3EE1" w:rsidRDefault="00FC3EE1" w:rsidP="00FC3EE1">
      <w:pPr>
        <w:widowControl w:val="0"/>
        <w:shd w:val="clear" w:color="auto" w:fill="FFFFFF"/>
        <w:suppressAutoHyphens w:val="0"/>
        <w:ind w:firstLine="567"/>
        <w:jc w:val="both"/>
      </w:pPr>
    </w:p>
    <w:p w:rsidR="00FC3EE1" w:rsidRPr="00FC3EE1" w:rsidRDefault="00FC3EE1" w:rsidP="00FC3EE1">
      <w:pPr>
        <w:widowControl w:val="0"/>
        <w:suppressAutoHyphens w:val="0"/>
        <w:ind w:firstLine="567"/>
        <w:jc w:val="center"/>
        <w:rPr>
          <w:b/>
          <w:spacing w:val="-1"/>
          <w:lang w:eastAsia="ru-RU"/>
        </w:rPr>
      </w:pPr>
      <w:r w:rsidRPr="00FC3EE1">
        <w:rPr>
          <w:b/>
          <w:spacing w:val="-1"/>
          <w:lang w:eastAsia="ru-RU"/>
        </w:rPr>
        <w:t>Соответствие требованиям к настройке товара.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</w:pPr>
      <w:r w:rsidRPr="00FC3EE1">
        <w:rPr>
          <w:spacing w:val="-1"/>
        </w:rPr>
        <w:t xml:space="preserve">При </w:t>
      </w:r>
      <w:r w:rsidRPr="00FC3EE1">
        <w:t>передаче инвалиду слухового аппарата в обязательном порядке должна производиться индивидуальная подборка и настройка изделия в специализированном учреждении, оказывающем услуги по подбору и настройке изделия. Должен быть обеспечен инструктаж Получателя и консультативная помощь по правильному пользованию Товаром.  В течение срока пользования слуховым аппаратом при необходимости должна быть произведена корректирующая настройка.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</w:pPr>
      <w:r w:rsidRPr="00FC3EE1">
        <w:t xml:space="preserve">Обслуживание инвалидов (прием, примерка, подборка, настройка, выдача и прочее) должна производиться по месту нахождения пунктов выдачи на территории г. Смоленска (Смоленской области), открытых поставщиком на территории организации, имеющей медицинскую лицензию по оказанию специализированной медицинской помощи, включающей работы (услуги) по </w:t>
      </w:r>
      <w:proofErr w:type="spellStart"/>
      <w:r w:rsidRPr="00FC3EE1">
        <w:t>сурдологии</w:t>
      </w:r>
      <w:proofErr w:type="spellEnd"/>
      <w:r w:rsidRPr="00FC3EE1">
        <w:t>-оториноларингологии, которая будет производить настройку слухового аппарата.</w:t>
      </w:r>
    </w:p>
    <w:p w:rsidR="00FC3EE1" w:rsidRPr="00FC3EE1" w:rsidRDefault="00FC3EE1" w:rsidP="00FC3EE1">
      <w:pPr>
        <w:widowControl w:val="0"/>
        <w:suppressAutoHyphens w:val="0"/>
        <w:autoSpaceDE w:val="0"/>
        <w:ind w:firstLine="567"/>
        <w:jc w:val="both"/>
      </w:pPr>
      <w:r w:rsidRPr="00FC3EE1">
        <w:t xml:space="preserve">Настройка слухового аппарата должна производиться при наличии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FC3EE1">
        <w:t>сурдологии</w:t>
      </w:r>
      <w:proofErr w:type="spellEnd"/>
      <w:r w:rsidRPr="00FC3EE1">
        <w:t>-оториноларингологии.</w:t>
      </w:r>
    </w:p>
    <w:p w:rsidR="00FC3EE1" w:rsidRPr="00FC3EE1" w:rsidRDefault="00FC3EE1" w:rsidP="00FC3EE1">
      <w:pPr>
        <w:widowControl w:val="0"/>
        <w:suppressAutoHyphens w:val="0"/>
        <w:autoSpaceDE w:val="0"/>
        <w:ind w:firstLine="567"/>
        <w:jc w:val="both"/>
      </w:pPr>
    </w:p>
    <w:p w:rsidR="00FC3EE1" w:rsidRPr="00FC3EE1" w:rsidRDefault="00FC3EE1" w:rsidP="00FC3EE1">
      <w:pPr>
        <w:widowControl w:val="0"/>
        <w:suppressAutoHyphens w:val="0"/>
        <w:autoSpaceDE w:val="0"/>
        <w:ind w:firstLine="567"/>
        <w:jc w:val="center"/>
      </w:pPr>
      <w:r w:rsidRPr="00FC3EE1">
        <w:rPr>
          <w:b/>
          <w:spacing w:val="-1"/>
          <w:lang w:eastAsia="ru-RU"/>
        </w:rPr>
        <w:t>Соответствие требованиям к безопасности товара.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  <w:rPr>
          <w:lang w:eastAsia="ru-RU"/>
        </w:rPr>
      </w:pPr>
      <w:r w:rsidRPr="00FC3EE1">
        <w:rPr>
          <w:lang w:eastAsia="ru-RU"/>
        </w:rPr>
        <w:t>Обязательное наличие декларации о соответствии и регистрационного удостоверения Федеральной службы по надзору в сфере здравоохранения на поставляемые слуховые аппараты (на изделия медицинского назначения, подлежащие обязательной регистрации Федеральной службой по надзору в сфере здравоохранения) свидетельствующих о качестве и безопасности Товара, предусмотренных действующим законодательством Российской Федерации, при поступлении Товара на склад.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  <w:rPr>
          <w:lang w:eastAsia="ru-RU"/>
        </w:rPr>
      </w:pPr>
    </w:p>
    <w:p w:rsidR="00FC3EE1" w:rsidRPr="00FC3EE1" w:rsidRDefault="00FC3EE1" w:rsidP="00FC3EE1">
      <w:pPr>
        <w:widowControl w:val="0"/>
        <w:suppressAutoHyphens w:val="0"/>
        <w:ind w:firstLine="567"/>
        <w:jc w:val="center"/>
        <w:rPr>
          <w:b/>
          <w:spacing w:val="-1"/>
          <w:lang w:eastAsia="ru-RU"/>
        </w:rPr>
      </w:pPr>
      <w:r w:rsidRPr="00FC3EE1">
        <w:rPr>
          <w:b/>
          <w:spacing w:val="-1"/>
          <w:lang w:eastAsia="ru-RU"/>
        </w:rPr>
        <w:t>Соответствие требованиям к упаковке и транспортировке товара.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  <w:rPr>
          <w:lang w:eastAsia="ru-RU"/>
        </w:rPr>
      </w:pPr>
      <w:r w:rsidRPr="00FC3EE1">
        <w:rPr>
          <w:lang w:eastAsia="ru-RU"/>
        </w:rPr>
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  <w:bookmarkStart w:id="0" w:name="_GoBack"/>
      <w:bookmarkEnd w:id="0"/>
    </w:p>
    <w:p w:rsidR="00FC3EE1" w:rsidRPr="00FC3EE1" w:rsidRDefault="00FC3EE1" w:rsidP="00FC3EE1">
      <w:pPr>
        <w:widowControl w:val="0"/>
        <w:suppressAutoHyphens w:val="0"/>
        <w:ind w:firstLine="567"/>
        <w:jc w:val="both"/>
        <w:rPr>
          <w:b/>
          <w:color w:val="000000"/>
          <w:highlight w:val="yellow"/>
          <w:lang w:eastAsia="ru-RU"/>
        </w:rPr>
      </w:pPr>
      <w:r w:rsidRPr="00FC3EE1">
        <w:rPr>
          <w:lang w:eastAsia="ru-RU"/>
        </w:rPr>
        <w:t>Потребительская тара с упакованными слуховыми аппаратами, должна быть перевязана шпагатом по ГОСТ 17308-88 или оклеена бумажной лентой по ГОСТ 18510-87, клеевой лентой на бумажной основе по ГОСТ 18251-87.</w:t>
      </w:r>
    </w:p>
    <w:p w:rsidR="00FC3EE1" w:rsidRPr="00FC3EE1" w:rsidRDefault="00FC3EE1" w:rsidP="00FC3EE1">
      <w:pPr>
        <w:widowControl w:val="0"/>
        <w:suppressAutoHyphens w:val="0"/>
        <w:ind w:firstLine="567"/>
        <w:jc w:val="both"/>
        <w:rPr>
          <w:lang w:eastAsia="ru-RU"/>
        </w:rPr>
      </w:pPr>
      <w:r w:rsidRPr="00FC3EE1">
        <w:rPr>
          <w:lang w:eastAsia="ru-RU"/>
        </w:rPr>
        <w:t>Транспортирование любым видом крытого транспорта в соответствии с правилами перевозки грузов, действующими на данном виде транспорта.</w:t>
      </w:r>
    </w:p>
    <w:p w:rsidR="00FC3EE1" w:rsidRPr="00FC3EE1" w:rsidRDefault="00FC3EE1" w:rsidP="00FC3EE1">
      <w:pPr>
        <w:widowControl w:val="0"/>
        <w:suppressAutoHyphens w:val="0"/>
        <w:ind w:firstLine="567"/>
        <w:rPr>
          <w:b/>
          <w:spacing w:val="-1"/>
          <w:lang w:eastAsia="ru-RU"/>
        </w:rPr>
      </w:pPr>
    </w:p>
    <w:p w:rsidR="00FC3EE1" w:rsidRPr="00FC3EE1" w:rsidRDefault="00FC3EE1" w:rsidP="00FC3EE1">
      <w:pPr>
        <w:widowControl w:val="0"/>
        <w:suppressAutoHyphens w:val="0"/>
        <w:ind w:firstLine="567"/>
        <w:jc w:val="center"/>
        <w:rPr>
          <w:b/>
          <w:spacing w:val="-1"/>
          <w:lang w:eastAsia="ru-RU"/>
        </w:rPr>
      </w:pPr>
      <w:r w:rsidRPr="00FC3EE1">
        <w:rPr>
          <w:b/>
          <w:spacing w:val="-1"/>
          <w:lang w:eastAsia="ru-RU"/>
        </w:rPr>
        <w:t>Сроки предоставления гарантии качества товара.</w:t>
      </w:r>
    </w:p>
    <w:p w:rsidR="00FC3EE1" w:rsidRPr="00FC3EE1" w:rsidRDefault="00FC3EE1" w:rsidP="00FC3EE1">
      <w:pPr>
        <w:widowControl w:val="0"/>
        <w:suppressAutoHyphens w:val="0"/>
        <w:ind w:firstLine="567"/>
        <w:contextualSpacing/>
        <w:jc w:val="both"/>
        <w:rPr>
          <w:spacing w:val="-1"/>
          <w:lang w:eastAsia="ru-RU"/>
        </w:rPr>
      </w:pPr>
      <w:r w:rsidRPr="00FC3EE1">
        <w:rPr>
          <w:spacing w:val="-1"/>
          <w:lang w:eastAsia="ru-RU"/>
        </w:rPr>
        <w:t>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3EE1" w:rsidRPr="00FC3EE1" w:rsidRDefault="00FC3EE1" w:rsidP="00FC3EE1">
      <w:pPr>
        <w:widowControl w:val="0"/>
        <w:suppressAutoHyphens w:val="0"/>
        <w:ind w:firstLine="567"/>
        <w:contextualSpacing/>
        <w:jc w:val="both"/>
        <w:rPr>
          <w:lang w:eastAsia="ru-RU"/>
        </w:rPr>
      </w:pPr>
      <w:r w:rsidRPr="00FC3EE1">
        <w:rPr>
          <w:lang w:eastAsia="ru-RU"/>
        </w:rPr>
        <w:t>Гарантийный срок эксплуатации слухового аппарата должен быть не менее 12 месяцев после подписания Акта приема-передачи Товара. Срок гарантийного ремонта со дня обращения инвалида не должен превышать 30 дней. Наличие гарантийных талонов, дающих право на бесплатный ремонт изделия во время гарантийного срока пользования.</w:t>
      </w:r>
    </w:p>
    <w:p w:rsidR="00FC3EE1" w:rsidRPr="00FC3EE1" w:rsidRDefault="00FC3EE1" w:rsidP="00FC3EE1">
      <w:pPr>
        <w:widowControl w:val="0"/>
        <w:suppressAutoHyphens w:val="0"/>
        <w:ind w:firstLine="567"/>
        <w:contextualSpacing/>
        <w:jc w:val="both"/>
        <w:rPr>
          <w:lang w:eastAsia="ru-RU"/>
        </w:rPr>
      </w:pPr>
      <w:r w:rsidRPr="00FC3EE1">
        <w:rPr>
          <w:lang w:eastAsia="ru-RU"/>
        </w:rPr>
        <w:t>Обязательно указание в Акте о приемке Товара Получателем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C3EE1" w:rsidRDefault="00FC3EE1" w:rsidP="00FC3EE1">
      <w:pPr>
        <w:widowControl w:val="0"/>
        <w:tabs>
          <w:tab w:val="left" w:pos="7655"/>
        </w:tabs>
        <w:suppressAutoHyphens w:val="0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1559"/>
        <w:gridCol w:w="488"/>
        <w:gridCol w:w="646"/>
        <w:gridCol w:w="838"/>
        <w:gridCol w:w="2422"/>
        <w:gridCol w:w="1985"/>
      </w:tblGrid>
      <w:tr w:rsidR="00FC3EE1" w:rsidRPr="00FC3EE1" w:rsidTr="00B276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right="-144"/>
              <w:contextualSpacing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FC3EE1">
              <w:rPr>
                <w:rFonts w:eastAsia="Calibri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left="-108" w:right="-144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Наименование товара, работы, услуги по КТРУ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left="-108" w:right="-144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left="-108" w:right="-144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snapToGrid w:val="0"/>
              <w:ind w:left="-108" w:right="-45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b/>
                <w:sz w:val="22"/>
                <w:szCs w:val="22"/>
              </w:rPr>
              <w:t>ОКПД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snapToGrid w:val="0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left="-108" w:right="-144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left="-108" w:right="-144"/>
              <w:contextualSpacing/>
              <w:jc w:val="center"/>
              <w:rPr>
                <w:b/>
                <w:sz w:val="22"/>
                <w:szCs w:val="22"/>
              </w:rPr>
            </w:pPr>
            <w:r w:rsidRPr="00FC3EE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E1" w:rsidRPr="00FC3EE1" w:rsidRDefault="00FC3EE1" w:rsidP="00FC3EE1">
            <w:pPr>
              <w:widowControl w:val="0"/>
              <w:tabs>
                <w:tab w:val="left" w:pos="975"/>
              </w:tabs>
              <w:suppressAutoHyphens w:val="0"/>
              <w:ind w:right="-142"/>
              <w:contextualSpacing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FC3EE1">
              <w:rPr>
                <w:b/>
                <w:sz w:val="22"/>
                <w:szCs w:val="22"/>
              </w:rPr>
              <w:t>Значение характеристики</w:t>
            </w:r>
          </w:p>
        </w:tc>
      </w:tr>
      <w:tr w:rsidR="00FC3EE1" w:rsidRPr="00FC3EE1" w:rsidTr="00B27609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108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  <w:r w:rsidRPr="00FC3EE1">
              <w:rPr>
                <w:b/>
                <w:kern w:val="1"/>
                <w:sz w:val="22"/>
                <w:szCs w:val="22"/>
                <w:lang w:bidi="hi-I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Аппарат слуховой костной проводимости с креплением на голове, не имплантируемый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26.60.14.120-00000006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17-01-15 - Слуховой аппарат костной проводимости (</w:t>
            </w:r>
            <w:proofErr w:type="spellStart"/>
            <w:r w:rsidRPr="00FC3EE1">
              <w:rPr>
                <w:sz w:val="22"/>
                <w:szCs w:val="22"/>
              </w:rPr>
              <w:t>неимплантируемый</w:t>
            </w:r>
            <w:proofErr w:type="spellEnd"/>
            <w:r w:rsidRPr="00FC3EE1">
              <w:rPr>
                <w:sz w:val="22"/>
                <w:szCs w:val="22"/>
              </w:rPr>
              <w:t>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26.60.14.120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Шт.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способ крепления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головной бандаж</w:t>
            </w:r>
          </w:p>
        </w:tc>
      </w:tr>
      <w:tr w:rsidR="00FC3EE1" w:rsidRPr="00FC3EE1" w:rsidTr="00B27609">
        <w:trPr>
          <w:trHeight w:val="8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способ обработки сигналов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EE1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цифровой</w:t>
            </w:r>
            <w:proofErr w:type="spellEnd"/>
          </w:p>
        </w:tc>
      </w:tr>
      <w:tr w:rsidR="00FC3EE1" w:rsidRPr="00FC3EE1" w:rsidTr="00B27609">
        <w:trPr>
          <w:trHeight w:val="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jc w:val="both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 xml:space="preserve">способ настройки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snapToGrid w:val="0"/>
              <w:ind w:left="-69" w:right="-108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цифровой</w:t>
            </w:r>
          </w:p>
        </w:tc>
      </w:tr>
      <w:tr w:rsidR="00FC3EE1" w:rsidRPr="00FC3EE1" w:rsidTr="00B27609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количество каналов цифровой обработки звука, шт.: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менее 15 (включительно)</w:t>
            </w:r>
          </w:p>
        </w:tc>
      </w:tr>
      <w:tr w:rsidR="00FC3EE1" w:rsidRPr="00FC3EE1" w:rsidTr="00B27609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количество программ прослушивания, шт.: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менее 4</w:t>
            </w:r>
          </w:p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(включительно)</w:t>
            </w:r>
          </w:p>
        </w:tc>
      </w:tr>
      <w:tr w:rsidR="00FC3EE1" w:rsidRPr="00FC3EE1" w:rsidTr="00B27609">
        <w:trPr>
          <w:trHeight w:val="4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 xml:space="preserve">частотный диапазон, Гц: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более 260</w:t>
            </w:r>
          </w:p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(включительно)</w:t>
            </w:r>
          </w:p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менее 9500</w:t>
            </w:r>
          </w:p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(включительно)</w:t>
            </w:r>
          </w:p>
        </w:tc>
      </w:tr>
      <w:tr w:rsidR="00FC3EE1" w:rsidRPr="00FC3EE1" w:rsidTr="00B27609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максимальный выходной уровень звукового давления на 90 дБ (ВУЗД90), дБ: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менее 124</w:t>
            </w:r>
          </w:p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(включительно)</w:t>
            </w:r>
          </w:p>
        </w:tc>
      </w:tr>
      <w:tr w:rsidR="00FC3EE1" w:rsidRPr="00FC3EE1" w:rsidTr="00B27609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коэффициент гармоник, в %: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 xml:space="preserve">не более 3 (включительно) </w:t>
            </w:r>
          </w:p>
        </w:tc>
      </w:tr>
      <w:tr w:rsidR="00FC3EE1" w:rsidRPr="00FC3EE1" w:rsidTr="00B27609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задержка при обработке и передаче сигнала, миллисекунда (</w:t>
            </w:r>
            <w:proofErr w:type="spellStart"/>
            <w:r w:rsidRPr="00FC3EE1">
              <w:rPr>
                <w:sz w:val="22"/>
                <w:szCs w:val="22"/>
              </w:rPr>
              <w:t>мс</w:t>
            </w:r>
            <w:proofErr w:type="spellEnd"/>
            <w:r w:rsidRPr="00FC3EE1">
              <w:rPr>
                <w:sz w:val="22"/>
                <w:szCs w:val="22"/>
              </w:rPr>
              <w:t xml:space="preserve">):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не более 6 (включительно)</w:t>
            </w:r>
          </w:p>
        </w:tc>
      </w:tr>
      <w:tr w:rsidR="00FC3EE1" w:rsidRPr="00FC3EE1" w:rsidTr="00B27609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уровень собственных шумов, дБ: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 xml:space="preserve">не более 26 (включительно) </w:t>
            </w:r>
          </w:p>
        </w:tc>
      </w:tr>
      <w:tr w:rsidR="00FC3EE1" w:rsidRPr="00FC3EE1" w:rsidTr="00B27609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автоматическая регулировка усиления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81"/>
        </w:trPr>
        <w:tc>
          <w:tcPr>
            <w:tcW w:w="426" w:type="dxa"/>
            <w:vMerge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система динамического подавления обратной связи</w:t>
            </w: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42"/>
        </w:trPr>
        <w:tc>
          <w:tcPr>
            <w:tcW w:w="426" w:type="dxa"/>
            <w:vMerge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автоматическая система шумоподавления</w:t>
            </w: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42"/>
        </w:trPr>
        <w:tc>
          <w:tcPr>
            <w:tcW w:w="426" w:type="dxa"/>
            <w:vMerge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регулятор громкости</w:t>
            </w: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42"/>
        </w:trPr>
        <w:tc>
          <w:tcPr>
            <w:tcW w:w="426" w:type="dxa"/>
            <w:vMerge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кнопка переключения программ</w:t>
            </w: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42"/>
        </w:trPr>
        <w:tc>
          <w:tcPr>
            <w:tcW w:w="426" w:type="dxa"/>
            <w:vMerge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108" w:right="-5"/>
              <w:jc w:val="center"/>
              <w:rPr>
                <w:b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560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48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запирающийся отсек</w:t>
            </w: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EE1">
              <w:rPr>
                <w:rFonts w:eastAsia="Calibri"/>
                <w:sz w:val="22"/>
                <w:szCs w:val="22"/>
                <w:lang w:eastAsia="en-US"/>
              </w:rPr>
              <w:t>наличие</w:t>
            </w:r>
          </w:p>
        </w:tc>
      </w:tr>
      <w:tr w:rsidR="00FC3EE1" w:rsidRPr="00FC3EE1" w:rsidTr="00B27609">
        <w:trPr>
          <w:trHeight w:val="42"/>
        </w:trPr>
        <w:tc>
          <w:tcPr>
            <w:tcW w:w="4600" w:type="dxa"/>
            <w:gridSpan w:val="5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right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ИТОГО:</w:t>
            </w:r>
          </w:p>
        </w:tc>
        <w:tc>
          <w:tcPr>
            <w:tcW w:w="646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2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44"/>
              <w:jc w:val="center"/>
              <w:rPr>
                <w:sz w:val="22"/>
                <w:szCs w:val="22"/>
              </w:rPr>
            </w:pPr>
            <w:r w:rsidRPr="00FC3EE1">
              <w:rPr>
                <w:sz w:val="22"/>
                <w:szCs w:val="22"/>
              </w:rPr>
              <w:t>Шт.</w:t>
            </w:r>
          </w:p>
        </w:tc>
        <w:tc>
          <w:tcPr>
            <w:tcW w:w="2422" w:type="dxa"/>
          </w:tcPr>
          <w:p w:rsidR="00FC3EE1" w:rsidRPr="00FC3EE1" w:rsidRDefault="00FC3EE1" w:rsidP="00FC3EE1">
            <w:pPr>
              <w:widowControl w:val="0"/>
              <w:suppressAutoHyphens w:val="0"/>
              <w:ind w:left="-69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C3EE1" w:rsidRPr="00FC3EE1" w:rsidRDefault="00FC3EE1" w:rsidP="00FC3EE1">
            <w:pPr>
              <w:widowControl w:val="0"/>
              <w:suppressAutoHyphens w:val="0"/>
              <w:autoSpaceDN w:val="0"/>
              <w:ind w:left="-6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3EE1" w:rsidRPr="00FC3EE1" w:rsidRDefault="00FC3EE1" w:rsidP="00FC3EE1">
      <w:pPr>
        <w:widowControl w:val="0"/>
        <w:tabs>
          <w:tab w:val="left" w:pos="7655"/>
        </w:tabs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FC3EE1" w:rsidRPr="00FC3EE1" w:rsidRDefault="00FC3EE1" w:rsidP="00FC3EE1">
      <w:pPr>
        <w:widowControl w:val="0"/>
        <w:tabs>
          <w:tab w:val="left" w:pos="7655"/>
        </w:tabs>
        <w:suppressAutoHyphens w:val="0"/>
        <w:rPr>
          <w:rFonts w:eastAsia="Calibri"/>
          <w:bCs/>
          <w:color w:val="000000"/>
          <w:lang w:eastAsia="en-US"/>
        </w:rPr>
      </w:pPr>
      <w:r w:rsidRPr="00FC3EE1">
        <w:rPr>
          <w:rFonts w:eastAsia="Calibri"/>
          <w:b/>
          <w:bCs/>
          <w:color w:val="000000"/>
          <w:lang w:eastAsia="en-US"/>
        </w:rPr>
        <w:t xml:space="preserve">Место поставки: </w:t>
      </w:r>
      <w:r w:rsidRPr="00FC3EE1">
        <w:rPr>
          <w:rFonts w:eastAsia="Calibri"/>
          <w:bCs/>
          <w:color w:val="000000"/>
          <w:lang w:eastAsia="en-US"/>
        </w:rPr>
        <w:t>Смоленск, Смоленская область.</w:t>
      </w:r>
    </w:p>
    <w:p w:rsidR="00FC3EE1" w:rsidRPr="00FC3EE1" w:rsidRDefault="00FC3EE1" w:rsidP="00FC3EE1">
      <w:pPr>
        <w:widowControl w:val="0"/>
        <w:tabs>
          <w:tab w:val="left" w:pos="7655"/>
        </w:tabs>
        <w:suppressAutoHyphens w:val="0"/>
        <w:rPr>
          <w:rFonts w:eastAsia="Calibri"/>
          <w:b/>
          <w:bCs/>
          <w:color w:val="000000"/>
          <w:lang w:eastAsia="en-US"/>
        </w:rPr>
      </w:pPr>
      <w:r w:rsidRPr="00FC3EE1">
        <w:rPr>
          <w:rFonts w:eastAsia="Calibri"/>
          <w:b/>
          <w:bCs/>
          <w:color w:val="000000"/>
          <w:lang w:eastAsia="en-US"/>
        </w:rPr>
        <w:t xml:space="preserve">Срок поставки товара </w:t>
      </w:r>
      <w:r w:rsidRPr="00FC3EE1">
        <w:rPr>
          <w:rFonts w:eastAsia="Calibri"/>
          <w:bCs/>
          <w:color w:val="000000"/>
          <w:lang w:eastAsia="en-US"/>
        </w:rPr>
        <w:t>до получателя не позднее 30.06.2023</w:t>
      </w:r>
      <w:r w:rsidRPr="00FC3EE1">
        <w:rPr>
          <w:rFonts w:eastAsia="Calibri"/>
          <w:b/>
          <w:bCs/>
          <w:color w:val="000000"/>
          <w:lang w:eastAsia="en-US"/>
        </w:rPr>
        <w:t>.</w:t>
      </w:r>
    </w:p>
    <w:sectPr w:rsidR="00FC3EE1" w:rsidRPr="00FC3EE1" w:rsidSect="007811F2">
      <w:footerReference w:type="default" r:id="rId8"/>
      <w:pgSz w:w="11906" w:h="16838"/>
      <w:pgMar w:top="567" w:right="794" w:bottom="0" w:left="124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EA" w:rsidRDefault="001E48EA" w:rsidP="001E48EA">
      <w:r>
        <w:separator/>
      </w:r>
    </w:p>
  </w:endnote>
  <w:endnote w:type="continuationSeparator" w:id="0">
    <w:p w:rsidR="001E48EA" w:rsidRDefault="001E48EA" w:rsidP="001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769758"/>
      <w:docPartObj>
        <w:docPartGallery w:val="Page Numbers (Bottom of Page)"/>
        <w:docPartUnique/>
      </w:docPartObj>
    </w:sdtPr>
    <w:sdtEndPr/>
    <w:sdtContent>
      <w:p w:rsidR="001E48EA" w:rsidRDefault="001E48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E1">
          <w:rPr>
            <w:noProof/>
          </w:rPr>
          <w:t>3</w:t>
        </w:r>
        <w:r>
          <w:fldChar w:fldCharType="end"/>
        </w:r>
      </w:p>
    </w:sdtContent>
  </w:sdt>
  <w:p w:rsidR="001E48EA" w:rsidRDefault="001E48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EA" w:rsidRDefault="001E48EA" w:rsidP="001E48EA">
      <w:r>
        <w:separator/>
      </w:r>
    </w:p>
  </w:footnote>
  <w:footnote w:type="continuationSeparator" w:id="0">
    <w:p w:rsidR="001E48EA" w:rsidRDefault="001E48EA" w:rsidP="001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BFA"/>
    <w:multiLevelType w:val="hybridMultilevel"/>
    <w:tmpl w:val="F99E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7"/>
    <w:rsid w:val="000330DE"/>
    <w:rsid w:val="001A726E"/>
    <w:rsid w:val="001E48EA"/>
    <w:rsid w:val="00287581"/>
    <w:rsid w:val="00577EC7"/>
    <w:rsid w:val="007811F2"/>
    <w:rsid w:val="008903FF"/>
    <w:rsid w:val="009C69D2"/>
    <w:rsid w:val="00AC673A"/>
    <w:rsid w:val="00B85F30"/>
    <w:rsid w:val="00BD139D"/>
    <w:rsid w:val="00C428BC"/>
    <w:rsid w:val="00C7352B"/>
    <w:rsid w:val="00D07E1D"/>
    <w:rsid w:val="00DB66AB"/>
    <w:rsid w:val="00DF51EA"/>
    <w:rsid w:val="00E51EFD"/>
    <w:rsid w:val="00EB5B97"/>
    <w:rsid w:val="00EF54CC"/>
    <w:rsid w:val="00F33E61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8192-BB7F-4643-A30D-7A01B22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77E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5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8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EB5B97"/>
    <w:pPr>
      <w:ind w:left="720"/>
      <w:contextualSpacing/>
    </w:pPr>
  </w:style>
  <w:style w:type="table" w:styleId="a6">
    <w:name w:val="Table Grid"/>
    <w:basedOn w:val="a1"/>
    <w:uiPriority w:val="59"/>
    <w:rsid w:val="009C69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4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E4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8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endnote text"/>
    <w:basedOn w:val="a"/>
    <w:link w:val="ac"/>
    <w:uiPriority w:val="99"/>
    <w:semiHidden/>
    <w:unhideWhenUsed/>
    <w:rsid w:val="00C428B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428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endnote reference"/>
    <w:basedOn w:val="a0"/>
    <w:uiPriority w:val="99"/>
    <w:semiHidden/>
    <w:unhideWhenUsed/>
    <w:rsid w:val="00C42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9D79-70C4-4B46-9D65-717FB243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Осипова Виктория Викторовна</cp:lastModifiedBy>
  <cp:revision>17</cp:revision>
  <cp:lastPrinted>2023-01-31T09:42:00Z</cp:lastPrinted>
  <dcterms:created xsi:type="dcterms:W3CDTF">2023-01-31T09:25:00Z</dcterms:created>
  <dcterms:modified xsi:type="dcterms:W3CDTF">2023-04-20T12:39:00Z</dcterms:modified>
</cp:coreProperties>
</file>