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43" w:rsidRPr="006463F6" w:rsidRDefault="00CC2443" w:rsidP="00CC2443">
      <w:pPr>
        <w:jc w:val="right"/>
      </w:pPr>
      <w:r w:rsidRPr="006463F6">
        <w:rPr>
          <w:lang w:eastAsia="ar-SA"/>
        </w:rPr>
        <w:t>Приложение №1 к Извещению</w:t>
      </w:r>
      <w:r w:rsidRPr="006463F6">
        <w:t xml:space="preserve"> о проведении электронного </w:t>
      </w:r>
      <w:r w:rsidR="00453974">
        <w:t>конкурса</w:t>
      </w:r>
    </w:p>
    <w:p w:rsidR="00CC2443" w:rsidRPr="00327B38" w:rsidRDefault="00CC2443" w:rsidP="00CC2443">
      <w:pPr>
        <w:jc w:val="center"/>
        <w:rPr>
          <w:b/>
        </w:rPr>
      </w:pPr>
    </w:p>
    <w:p w:rsidR="00CC2443" w:rsidRPr="00327B38" w:rsidRDefault="00CC2443" w:rsidP="00CC2443">
      <w:pPr>
        <w:jc w:val="center"/>
        <w:rPr>
          <w:b/>
        </w:rPr>
      </w:pPr>
      <w:r w:rsidRPr="00327B38">
        <w:rPr>
          <w:b/>
        </w:rPr>
        <w:t>Техническое задание (описание объекта закупки)</w:t>
      </w:r>
    </w:p>
    <w:p w:rsidR="00CC2443" w:rsidRPr="00FA44CE" w:rsidRDefault="00CC2443" w:rsidP="00453974">
      <w:pPr>
        <w:keepLines/>
        <w:suppressLineNumbers/>
        <w:jc w:val="center"/>
        <w:rPr>
          <w:rFonts w:eastAsia="Lucida Sans Unicode"/>
          <w:b/>
          <w:kern w:val="1"/>
        </w:rPr>
      </w:pPr>
      <w:r w:rsidRPr="00FA44CE">
        <w:rPr>
          <w:b/>
        </w:rPr>
        <w:t xml:space="preserve">на </w:t>
      </w:r>
      <w:r w:rsidR="00453974" w:rsidRPr="00FA44CE">
        <w:rPr>
          <w:rStyle w:val="T2"/>
          <w:b/>
          <w:bCs/>
        </w:rPr>
        <w:t xml:space="preserve">выполнение работ по изготовлению протезов </w:t>
      </w:r>
      <w:r w:rsidR="00FA44CE" w:rsidRPr="00FA44CE">
        <w:rPr>
          <w:rStyle w:val="T2"/>
          <w:b/>
          <w:bCs/>
        </w:rPr>
        <w:t>голени модульных, в том числе при недоразвитии</w:t>
      </w:r>
      <w:r w:rsidR="00FA44CE" w:rsidRPr="00FA44CE">
        <w:rPr>
          <w:rStyle w:val="T2"/>
          <w:b/>
          <w:bCs/>
        </w:rPr>
        <w:t>,</w:t>
      </w:r>
      <w:r w:rsidR="00FA44CE" w:rsidRPr="00FA44CE">
        <w:rPr>
          <w:rStyle w:val="WW-Absatz-Standardschriftart11111"/>
          <w:b/>
          <w:bCs/>
        </w:rPr>
        <w:t xml:space="preserve"> </w:t>
      </w:r>
      <w:r w:rsidR="00453974" w:rsidRPr="00FA44CE">
        <w:rPr>
          <w:rStyle w:val="T2"/>
          <w:b/>
          <w:bCs/>
        </w:rPr>
        <w:t>для обеспечения инвалидов в 2022 году</w:t>
      </w:r>
    </w:p>
    <w:p w:rsidR="00CC2443" w:rsidRDefault="00CC2443" w:rsidP="00CC2443">
      <w:pPr>
        <w:ind w:firstLine="709"/>
        <w:contextualSpacing/>
        <w:jc w:val="both"/>
        <w:rPr>
          <w:b/>
        </w:rPr>
      </w:pPr>
    </w:p>
    <w:p w:rsidR="00823CAB" w:rsidRPr="00327B38" w:rsidRDefault="00823CAB" w:rsidP="00CC2443">
      <w:pPr>
        <w:ind w:firstLine="709"/>
        <w:contextualSpacing/>
        <w:jc w:val="both"/>
        <w:rPr>
          <w:b/>
        </w:rPr>
      </w:pPr>
    </w:p>
    <w:p w:rsidR="00453974" w:rsidRPr="00B51705" w:rsidRDefault="00453974" w:rsidP="00453974">
      <w:pPr>
        <w:ind w:firstLine="709"/>
        <w:contextualSpacing/>
        <w:jc w:val="both"/>
        <w:rPr>
          <w:rFonts w:eastAsia="Lucida Sans Unicode"/>
          <w:kern w:val="2"/>
        </w:rPr>
      </w:pPr>
      <w:r>
        <w:rPr>
          <w:rFonts w:eastAsia="Lucida Sans Unicode"/>
          <w:b/>
          <w:bCs/>
          <w:kern w:val="2"/>
        </w:rPr>
        <w:t xml:space="preserve">1. </w:t>
      </w:r>
      <w:r w:rsidRPr="00B51705">
        <w:rPr>
          <w:rFonts w:eastAsia="Lucida Sans Unicode"/>
          <w:b/>
          <w:bCs/>
          <w:kern w:val="2"/>
        </w:rPr>
        <w:t xml:space="preserve">Общие технические характеристики </w:t>
      </w:r>
      <w:r w:rsidRPr="00B51705">
        <w:rPr>
          <w:rFonts w:eastAsia="Lucida Sans Unicode"/>
          <w:b/>
          <w:kern w:val="2"/>
        </w:rPr>
        <w:t>выполняемых работ:</w:t>
      </w:r>
    </w:p>
    <w:p w:rsidR="00453974" w:rsidRDefault="00453974" w:rsidP="00453974">
      <w:pPr>
        <w:pStyle w:val="ConsPlusNormal"/>
        <w:ind w:firstLine="709"/>
        <w:jc w:val="both"/>
        <w:rPr>
          <w:rFonts w:ascii="Times New Roman" w:hAnsi="Times New Roman" w:cs="Times New Roman"/>
          <w:sz w:val="24"/>
          <w:szCs w:val="24"/>
        </w:rPr>
      </w:pPr>
      <w:r w:rsidRPr="004A7DC4">
        <w:rPr>
          <w:rFonts w:ascii="Times New Roman" w:eastAsia="Lucida Sans Unicode" w:hAnsi="Times New Roman" w:cs="Times New Roman"/>
          <w:kern w:val="2"/>
          <w:sz w:val="24"/>
          <w:szCs w:val="24"/>
        </w:rPr>
        <w:t xml:space="preserve">Работы по </w:t>
      </w:r>
      <w:r w:rsidRPr="004A7DC4">
        <w:rPr>
          <w:rFonts w:ascii="Times New Roman" w:hAnsi="Times New Roman" w:cs="Times New Roman"/>
          <w:sz w:val="24"/>
          <w:szCs w:val="24"/>
        </w:rPr>
        <w:t xml:space="preserve">изготовлению </w:t>
      </w:r>
      <w:r w:rsidRPr="001D0592">
        <w:rPr>
          <w:rStyle w:val="T2"/>
          <w:bCs/>
        </w:rPr>
        <w:t xml:space="preserve">протезов нижних конечностей </w:t>
      </w:r>
      <w:r w:rsidRPr="00AC00A0">
        <w:rPr>
          <w:rFonts w:ascii="Times New Roman" w:eastAsia="Lucida Sans Unicode" w:hAnsi="Times New Roman" w:cs="Times New Roman"/>
          <w:kern w:val="2"/>
          <w:sz w:val="24"/>
          <w:szCs w:val="24"/>
        </w:rPr>
        <w:t xml:space="preserve">(далее – Изделие) – </w:t>
      </w:r>
      <w:r w:rsidRPr="00AC00A0">
        <w:rPr>
          <w:rFonts w:ascii="Times New Roman" w:hAnsi="Times New Roman" w:cs="Times New Roman"/>
          <w:sz w:val="24"/>
          <w:szCs w:val="24"/>
        </w:rPr>
        <w:t xml:space="preserve">комплекс медицинских, технических и социальных мероприятий, проводимых с </w:t>
      </w:r>
      <w:r>
        <w:rPr>
          <w:rFonts w:ascii="Times New Roman" w:hAnsi="Times New Roman" w:cs="Times New Roman"/>
          <w:sz w:val="24"/>
          <w:szCs w:val="24"/>
        </w:rPr>
        <w:t>инвалидом</w:t>
      </w:r>
      <w:r w:rsidRPr="00AC00A0">
        <w:rPr>
          <w:rFonts w:ascii="Times New Roman" w:eastAsia="Lucida Sans Unicode" w:hAnsi="Times New Roman" w:cs="Times New Roman"/>
          <w:kern w:val="2"/>
          <w:sz w:val="24"/>
          <w:szCs w:val="24"/>
        </w:rPr>
        <w:t xml:space="preserve"> (далее – Получатель)</w:t>
      </w:r>
      <w:r w:rsidRPr="00AC00A0">
        <w:rPr>
          <w:rFonts w:ascii="Times New Roman" w:hAnsi="Times New Roman" w:cs="Times New Roman"/>
          <w:sz w:val="24"/>
          <w:szCs w:val="24"/>
        </w:rPr>
        <w:t>, имеющего нарушения опорно-двигательного аппарата, в целях восстановления или компенсации ограничений его жизнедеятельности.</w:t>
      </w:r>
      <w:r w:rsidRPr="007D1C22">
        <w:t xml:space="preserve"> </w:t>
      </w:r>
    </w:p>
    <w:p w:rsidR="00453974" w:rsidRDefault="001D0592" w:rsidP="00453974">
      <w:pPr>
        <w:pStyle w:val="ConsPlusNormal"/>
        <w:ind w:firstLine="709"/>
        <w:jc w:val="both"/>
        <w:rPr>
          <w:rFonts w:ascii="Times New Roman" w:hAnsi="Times New Roman" w:cs="Times New Roman"/>
          <w:sz w:val="24"/>
          <w:szCs w:val="24"/>
        </w:rPr>
      </w:pPr>
      <w:r w:rsidRPr="00754DB9">
        <w:rPr>
          <w:rFonts w:ascii="Times New Roman" w:hAnsi="Times New Roman" w:cs="Times New Roman"/>
          <w:sz w:val="24"/>
          <w:szCs w:val="24"/>
        </w:rPr>
        <w:t>Протез нижн</w:t>
      </w:r>
      <w:r>
        <w:rPr>
          <w:rFonts w:ascii="Times New Roman" w:hAnsi="Times New Roman" w:cs="Times New Roman"/>
          <w:sz w:val="24"/>
          <w:szCs w:val="24"/>
        </w:rPr>
        <w:t>ей</w:t>
      </w:r>
      <w:r w:rsidRPr="00754DB9">
        <w:rPr>
          <w:rFonts w:ascii="Times New Roman" w:hAnsi="Times New Roman" w:cs="Times New Roman"/>
          <w:sz w:val="24"/>
          <w:szCs w:val="24"/>
        </w:rPr>
        <w:t xml:space="preserve"> конечност</w:t>
      </w:r>
      <w:r>
        <w:rPr>
          <w:rFonts w:ascii="Times New Roman" w:hAnsi="Times New Roman" w:cs="Times New Roman"/>
          <w:sz w:val="24"/>
          <w:szCs w:val="24"/>
        </w:rPr>
        <w:t>и</w:t>
      </w:r>
      <w:r w:rsidR="00453974" w:rsidRPr="00125EE8">
        <w:rPr>
          <w:rFonts w:ascii="Times New Roman" w:hAnsi="Times New Roman" w:cs="Times New Roman"/>
          <w:sz w:val="24"/>
          <w:szCs w:val="24"/>
        </w:rPr>
        <w:t xml:space="preserve"> – техническое устройство, надеваемое на конечность или ее сегмент (сегменты) опорно-двигательного аппарата с целью фиксации, разгрузки для восстановления нарушенных функций. </w:t>
      </w:r>
    </w:p>
    <w:p w:rsidR="001D0592" w:rsidRDefault="001D0592" w:rsidP="001D0592">
      <w:pPr>
        <w:ind w:firstLine="709"/>
        <w:jc w:val="both"/>
        <w:rPr>
          <w:rFonts w:eastAsia="Arial"/>
          <w:lang w:eastAsia="ar-SA"/>
        </w:rPr>
      </w:pPr>
      <w:r w:rsidRPr="006717F1">
        <w:rPr>
          <w:rFonts w:eastAsia="Arial"/>
          <w:lang w:eastAsia="ar-SA"/>
        </w:rPr>
        <w:t xml:space="preserve">Работы по обеспечению </w:t>
      </w:r>
      <w:r>
        <w:rPr>
          <w:rFonts w:eastAsia="Arial"/>
          <w:lang w:eastAsia="ar-SA"/>
        </w:rPr>
        <w:t>Получателя</w:t>
      </w:r>
      <w:r w:rsidRPr="006717F1">
        <w:rPr>
          <w:rFonts w:eastAsia="Arial"/>
          <w:lang w:eastAsia="ar-SA"/>
        </w:rPr>
        <w:t xml:space="preserve"> протезами нижних конечностей предусматривают осмотр врача, снятие слепков, замер, подбор и выбор конструкции протезно-ортопедического изделия, индивидуальное изготовление, обучение пользованию и выдачу технического средства реабилитации.</w:t>
      </w:r>
    </w:p>
    <w:p w:rsidR="001D0592" w:rsidRDefault="001D0592" w:rsidP="00453974">
      <w:pPr>
        <w:pStyle w:val="ConsPlusNormal"/>
        <w:ind w:firstLine="709"/>
        <w:jc w:val="both"/>
        <w:rPr>
          <w:rFonts w:ascii="Times New Roman" w:hAnsi="Times New Roman" w:cs="Times New Roman"/>
          <w:sz w:val="24"/>
          <w:szCs w:val="24"/>
        </w:rPr>
      </w:pPr>
    </w:p>
    <w:p w:rsidR="001D0592" w:rsidRDefault="001D0592" w:rsidP="001D0592">
      <w:pPr>
        <w:ind w:firstLine="709"/>
        <w:contextualSpacing/>
        <w:jc w:val="both"/>
        <w:rPr>
          <w:b/>
        </w:rPr>
      </w:pPr>
      <w:r>
        <w:rPr>
          <w:b/>
          <w:bCs/>
        </w:rPr>
        <w:t xml:space="preserve">2. </w:t>
      </w:r>
      <w:r w:rsidRPr="00B51705">
        <w:rPr>
          <w:b/>
          <w:bCs/>
        </w:rPr>
        <w:t>Объем и характеристики выполняемых работ</w:t>
      </w:r>
      <w:r w:rsidRPr="00B51705">
        <w:rPr>
          <w:b/>
        </w:rPr>
        <w:t>:</w:t>
      </w:r>
    </w:p>
    <w:p w:rsidR="001D0592" w:rsidRPr="00B51705" w:rsidRDefault="001D0592" w:rsidP="001D0592">
      <w:pPr>
        <w:autoSpaceDE w:val="0"/>
        <w:autoSpaceDN w:val="0"/>
        <w:adjustRightInd w:val="0"/>
        <w:ind w:firstLine="709"/>
        <w:jc w:val="both"/>
        <w:rPr>
          <w:b/>
        </w:rPr>
      </w:pPr>
      <w:r>
        <w:t>Изделия</w:t>
      </w:r>
      <w:r w:rsidRPr="00FA265D">
        <w:t xml:space="preserve"> долж</w:t>
      </w:r>
      <w:r>
        <w:t>ны</w:t>
      </w:r>
      <w:r w:rsidRPr="00FA265D">
        <w:t xml:space="preserve"> быть классифицирован</w:t>
      </w:r>
      <w:r>
        <w:t>ы</w:t>
      </w:r>
      <w:r w:rsidRPr="00FA265D">
        <w:t xml:space="preserve"> в соответствии с Национальным</w:t>
      </w:r>
      <w:r>
        <w:t xml:space="preserve"> стандартом Российской Федерации ГОСТ Р ИСО 9999-2019 «Вспомогательные средства для людей с ограничениями жизнедеятельности. Классификация и терминология».</w:t>
      </w:r>
    </w:p>
    <w:tbl>
      <w:tblPr>
        <w:tblW w:w="929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701"/>
        <w:gridCol w:w="6038"/>
        <w:gridCol w:w="1559"/>
      </w:tblGrid>
      <w:tr w:rsidR="002C11BD" w:rsidTr="002C11BD">
        <w:tc>
          <w:tcPr>
            <w:tcW w:w="1701" w:type="dxa"/>
            <w:vAlign w:val="center"/>
          </w:tcPr>
          <w:p w:rsidR="002C11BD" w:rsidRPr="00796213" w:rsidRDefault="002C11BD" w:rsidP="00F47ACC">
            <w:pPr>
              <w:pStyle w:val="P273"/>
              <w:rPr>
                <w:rFonts w:cs="Times New Roman"/>
                <w:sz w:val="22"/>
                <w:szCs w:val="22"/>
              </w:rPr>
            </w:pPr>
            <w:r w:rsidRPr="00796213">
              <w:rPr>
                <w:rFonts w:cs="Times New Roman"/>
                <w:sz w:val="22"/>
                <w:szCs w:val="22"/>
              </w:rPr>
              <w:t>Наименование изделия / Код вида ТСР</w:t>
            </w:r>
          </w:p>
        </w:tc>
        <w:tc>
          <w:tcPr>
            <w:tcW w:w="6038" w:type="dxa"/>
            <w:vAlign w:val="center"/>
          </w:tcPr>
          <w:p w:rsidR="002C11BD" w:rsidRPr="00796213" w:rsidRDefault="002C11BD" w:rsidP="00F47ACC">
            <w:pPr>
              <w:snapToGrid w:val="0"/>
              <w:jc w:val="center"/>
              <w:rPr>
                <w:sz w:val="22"/>
                <w:szCs w:val="22"/>
              </w:rPr>
            </w:pPr>
            <w:r w:rsidRPr="00796213">
              <w:rPr>
                <w:sz w:val="22"/>
                <w:szCs w:val="22"/>
              </w:rPr>
              <w:t>Описание изделия</w:t>
            </w:r>
          </w:p>
        </w:tc>
        <w:tc>
          <w:tcPr>
            <w:tcW w:w="1559" w:type="dxa"/>
            <w:vAlign w:val="center"/>
          </w:tcPr>
          <w:p w:rsidR="002C11BD" w:rsidRPr="00796213" w:rsidRDefault="002C11BD" w:rsidP="00F47ACC">
            <w:pPr>
              <w:snapToGrid w:val="0"/>
              <w:jc w:val="center"/>
              <w:rPr>
                <w:sz w:val="22"/>
                <w:szCs w:val="22"/>
              </w:rPr>
            </w:pPr>
            <w:r>
              <w:rPr>
                <w:sz w:val="22"/>
                <w:szCs w:val="22"/>
              </w:rPr>
              <w:t>Объем работ, изделий</w:t>
            </w:r>
          </w:p>
        </w:tc>
      </w:tr>
      <w:tr w:rsidR="002C11BD" w:rsidTr="002C11BD">
        <w:tc>
          <w:tcPr>
            <w:tcW w:w="1701" w:type="dxa"/>
            <w:vAlign w:val="center"/>
          </w:tcPr>
          <w:p w:rsidR="002C11BD" w:rsidRDefault="002C11BD" w:rsidP="002C11BD">
            <w:pPr>
              <w:pStyle w:val="P273"/>
              <w:rPr>
                <w:rFonts w:eastAsia="Lucida Sans Unicode" w:cs="Times New Roman"/>
                <w:sz w:val="22"/>
                <w:szCs w:val="22"/>
              </w:rPr>
            </w:pPr>
            <w:r w:rsidRPr="002C11BD">
              <w:rPr>
                <w:rFonts w:eastAsia="Lucida Sans Unicode" w:cs="Times New Roman"/>
                <w:sz w:val="22"/>
                <w:szCs w:val="22"/>
              </w:rPr>
              <w:t xml:space="preserve">Протез голени модульный, в том числе при недоразвитии </w:t>
            </w:r>
          </w:p>
          <w:p w:rsidR="002C11BD" w:rsidRPr="002C11BD" w:rsidRDefault="002C11BD" w:rsidP="002C11BD">
            <w:pPr>
              <w:pStyle w:val="P273"/>
              <w:rPr>
                <w:rFonts w:eastAsia="Lucida Sans Unicode" w:cs="Times New Roman"/>
                <w:sz w:val="22"/>
                <w:szCs w:val="22"/>
              </w:rPr>
            </w:pPr>
            <w:bookmarkStart w:id="0" w:name="_GoBack"/>
            <w:bookmarkEnd w:id="0"/>
            <w:r w:rsidRPr="002C11BD">
              <w:rPr>
                <w:rFonts w:eastAsia="Lucida Sans Unicode" w:cs="Times New Roman"/>
                <w:sz w:val="22"/>
                <w:szCs w:val="22"/>
              </w:rPr>
              <w:t>8-07-0</w:t>
            </w:r>
            <w:r>
              <w:rPr>
                <w:rFonts w:eastAsia="Lucida Sans Unicode" w:cs="Times New Roman"/>
                <w:sz w:val="22"/>
                <w:szCs w:val="22"/>
              </w:rPr>
              <w:t>9</w:t>
            </w:r>
          </w:p>
        </w:tc>
        <w:tc>
          <w:tcPr>
            <w:tcW w:w="6038" w:type="dxa"/>
            <w:vAlign w:val="center"/>
          </w:tcPr>
          <w:p w:rsidR="002C11BD" w:rsidRPr="002C11BD" w:rsidRDefault="002C11BD" w:rsidP="00926146">
            <w:pPr>
              <w:tabs>
                <w:tab w:val="left" w:pos="0"/>
              </w:tabs>
              <w:snapToGrid w:val="0"/>
              <w:jc w:val="both"/>
              <w:rPr>
                <w:rFonts w:cs="Tahoma"/>
                <w:sz w:val="22"/>
                <w:szCs w:val="22"/>
              </w:rPr>
            </w:pPr>
            <w:proofErr w:type="spellStart"/>
            <w:r w:rsidRPr="002C11BD">
              <w:rPr>
                <w:sz w:val="22"/>
                <w:szCs w:val="22"/>
              </w:rPr>
              <w:t>Высокофункциональный</w:t>
            </w:r>
            <w:proofErr w:type="spellEnd"/>
            <w:r w:rsidRPr="002C11BD">
              <w:rPr>
                <w:sz w:val="22"/>
                <w:szCs w:val="22"/>
              </w:rPr>
              <w:t xml:space="preserve"> протез голени модульный для получателя с высокой степенью активности. Пробная примерочная гильза из термопласта, изготавливается по индивидуальному гипсовому слепку. Основная приемная гильза выполнена по гипсовой копии из слоистого пластика на акриловом связующем с эластичным вкладышем. В качестве смягчающего элемента, а также удержания протеза, используется силиконовый чехол совместно с замковым устройством. Для стабилизации коленного сустава применен наколенник. Стопа с 12 гр. </w:t>
            </w:r>
            <w:proofErr w:type="spellStart"/>
            <w:r w:rsidRPr="002C11BD">
              <w:rPr>
                <w:sz w:val="22"/>
                <w:szCs w:val="22"/>
              </w:rPr>
              <w:t>плантарной</w:t>
            </w:r>
            <w:proofErr w:type="spellEnd"/>
            <w:r w:rsidRPr="002C11BD">
              <w:rPr>
                <w:sz w:val="22"/>
                <w:szCs w:val="22"/>
              </w:rPr>
              <w:t xml:space="preserve"> и дорсальной флексией вместе со смещенной кзади осью шарнира обеспечивают походку, максимально приближенную к естественной физиологической норме, при ходьбе по наклонной поверхности и при переходе с наклонной на ровную поверхность. Раздвоенный носок и пятка улучшают контакт с поверхностью, обеспечивают стабильность при ходьбе по любым неровностям. Специальная встроенная пружина помогает предотвратить спотыкание и падение получателя во время фазы переноса при медленной ходьбе. Возможное изменение высоты каблука от 0 до 3,5 см. Облицовка протеза – модульная, полиуретановая. Эластичная оболочка – гольфы перлоновые. Тип протеза – постоянный.</w:t>
            </w:r>
          </w:p>
        </w:tc>
        <w:tc>
          <w:tcPr>
            <w:tcW w:w="1559" w:type="dxa"/>
            <w:vAlign w:val="center"/>
          </w:tcPr>
          <w:p w:rsidR="002C11BD" w:rsidRPr="002C11BD" w:rsidRDefault="002C11BD" w:rsidP="002C11BD">
            <w:pPr>
              <w:tabs>
                <w:tab w:val="left" w:pos="0"/>
              </w:tabs>
              <w:snapToGrid w:val="0"/>
              <w:jc w:val="center"/>
              <w:rPr>
                <w:rFonts w:cs="Tahoma"/>
                <w:sz w:val="22"/>
                <w:szCs w:val="22"/>
              </w:rPr>
            </w:pPr>
            <w:r>
              <w:rPr>
                <w:rFonts w:cs="Tahoma"/>
                <w:sz w:val="22"/>
                <w:szCs w:val="22"/>
              </w:rPr>
              <w:t>4</w:t>
            </w:r>
          </w:p>
        </w:tc>
      </w:tr>
      <w:tr w:rsidR="002C11BD" w:rsidTr="00C454FE">
        <w:trPr>
          <w:trHeight w:val="649"/>
        </w:trPr>
        <w:tc>
          <w:tcPr>
            <w:tcW w:w="7739" w:type="dxa"/>
            <w:gridSpan w:val="2"/>
            <w:vAlign w:val="center"/>
          </w:tcPr>
          <w:p w:rsidR="002C11BD" w:rsidRPr="002C11BD" w:rsidRDefault="002C11BD" w:rsidP="002C11BD">
            <w:pPr>
              <w:pStyle w:val="P367"/>
              <w:spacing w:before="0"/>
              <w:ind w:right="45"/>
              <w:jc w:val="center"/>
              <w:rPr>
                <w:rFonts w:cs="Times New Roman"/>
                <w:b/>
                <w:bCs/>
                <w:szCs w:val="22"/>
              </w:rPr>
            </w:pPr>
            <w:r w:rsidRPr="002C11BD">
              <w:rPr>
                <w:rFonts w:cs="Times New Roman"/>
                <w:b/>
                <w:bCs/>
                <w:szCs w:val="22"/>
              </w:rPr>
              <w:t>Итого</w:t>
            </w:r>
          </w:p>
        </w:tc>
        <w:tc>
          <w:tcPr>
            <w:tcW w:w="1559" w:type="dxa"/>
            <w:vAlign w:val="center"/>
          </w:tcPr>
          <w:p w:rsidR="002C11BD" w:rsidRPr="002C11BD" w:rsidRDefault="002C11BD" w:rsidP="002C11BD">
            <w:pPr>
              <w:pStyle w:val="P367"/>
              <w:spacing w:before="0"/>
              <w:ind w:right="45"/>
              <w:jc w:val="center"/>
              <w:rPr>
                <w:rFonts w:cs="Times New Roman"/>
                <w:b/>
                <w:bCs/>
                <w:szCs w:val="22"/>
              </w:rPr>
            </w:pPr>
            <w:r w:rsidRPr="002C11BD">
              <w:rPr>
                <w:rFonts w:cs="Times New Roman"/>
                <w:b/>
                <w:bCs/>
                <w:szCs w:val="22"/>
              </w:rPr>
              <w:t>4</w:t>
            </w:r>
          </w:p>
        </w:tc>
      </w:tr>
    </w:tbl>
    <w:p w:rsidR="00796213" w:rsidRDefault="00796213" w:rsidP="00B8609C">
      <w:pPr>
        <w:ind w:firstLine="709"/>
        <w:contextualSpacing/>
        <w:rPr>
          <w:b/>
        </w:rPr>
      </w:pPr>
    </w:p>
    <w:p w:rsidR="00B8609C" w:rsidRDefault="00B8609C" w:rsidP="00796213">
      <w:pPr>
        <w:ind w:firstLine="709"/>
        <w:contextualSpacing/>
        <w:rPr>
          <w:b/>
        </w:rPr>
      </w:pPr>
      <w:r>
        <w:rPr>
          <w:b/>
        </w:rPr>
        <w:lastRenderedPageBreak/>
        <w:t xml:space="preserve">3. </w:t>
      </w:r>
      <w:r w:rsidRPr="00D03614">
        <w:rPr>
          <w:b/>
        </w:rPr>
        <w:t xml:space="preserve">Требования к качеству </w:t>
      </w:r>
      <w:r w:rsidR="00B63CE2">
        <w:rPr>
          <w:b/>
        </w:rPr>
        <w:t xml:space="preserve">и безопасности </w:t>
      </w:r>
      <w:r w:rsidRPr="00D03614">
        <w:rPr>
          <w:b/>
        </w:rPr>
        <w:t>работ:</w:t>
      </w:r>
    </w:p>
    <w:p w:rsidR="00B8609C" w:rsidRPr="001746F4" w:rsidRDefault="00B8609C" w:rsidP="00796213">
      <w:pPr>
        <w:pStyle w:val="a8"/>
        <w:spacing w:before="0" w:beforeAutospacing="0" w:after="0"/>
        <w:ind w:firstLine="709"/>
        <w:jc w:val="both"/>
        <w:rPr>
          <w:lang w:val="ru-RU"/>
        </w:rPr>
      </w:pPr>
      <w:r w:rsidRPr="009D10E9">
        <w:t xml:space="preserve">Работы по проведению комплекса медицинских, технических и </w:t>
      </w:r>
      <w:r>
        <w:t xml:space="preserve">социальных </w:t>
      </w:r>
      <w:r w:rsidRPr="009D10E9">
        <w:t xml:space="preserve">мероприятий должны быть направлены на полное или частичное восстановление опорно-двигательных функций </w:t>
      </w:r>
      <w:r w:rsidR="001746F4">
        <w:rPr>
          <w:lang w:val="ru-RU"/>
        </w:rPr>
        <w:t>Получателя.</w:t>
      </w:r>
    </w:p>
    <w:p w:rsidR="00B8609C" w:rsidRPr="003352EA" w:rsidRDefault="00B8609C" w:rsidP="00B8609C">
      <w:pPr>
        <w:ind w:firstLine="709"/>
        <w:jc w:val="both"/>
      </w:pPr>
      <w:r w:rsidRPr="003352EA">
        <w:t>Протез долж</w:t>
      </w:r>
      <w:r>
        <w:t>ен</w:t>
      </w:r>
      <w:r w:rsidRPr="003352EA">
        <w:t xml:space="preserve"> изготавливаться с учетом анатомических дефектов </w:t>
      </w:r>
      <w:r>
        <w:t xml:space="preserve">нижней </w:t>
      </w:r>
      <w:r w:rsidRPr="003352EA">
        <w:t>конечност</w:t>
      </w:r>
      <w:r>
        <w:t>и</w:t>
      </w:r>
      <w:r w:rsidRPr="003352EA">
        <w:t xml:space="preserve">, </w:t>
      </w:r>
      <w:r w:rsidR="001746F4">
        <w:t xml:space="preserve">при этом </w:t>
      </w:r>
      <w:r w:rsidRPr="003352EA">
        <w:t>необходимо максимально учитывать физическое состояние, индивидуальные особенности пациент</w:t>
      </w:r>
      <w:r>
        <w:t>а</w:t>
      </w:r>
      <w:r w:rsidRPr="003352EA">
        <w:t xml:space="preserve">, </w:t>
      </w:r>
      <w:r>
        <w:t>его</w:t>
      </w:r>
      <w:r w:rsidRPr="003352EA">
        <w:t xml:space="preserve">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1746F4" w:rsidRDefault="00B8609C" w:rsidP="00B8609C">
      <w:pPr>
        <w:jc w:val="both"/>
      </w:pPr>
      <w:r w:rsidRPr="00E94B80">
        <w:t xml:space="preserve">            </w:t>
      </w:r>
      <w:r w:rsidR="001746F4">
        <w:t>Приемные г</w:t>
      </w:r>
      <w:r w:rsidRPr="00E94B80">
        <w:t>ильзы и</w:t>
      </w:r>
      <w:r>
        <w:t xml:space="preserve"> </w:t>
      </w:r>
      <w:r w:rsidRPr="00E94B80">
        <w:t>крепления протез</w:t>
      </w:r>
      <w:r>
        <w:t>а</w:t>
      </w:r>
      <w:r w:rsidRPr="00E94B80">
        <w:t xml:space="preserve"> не должны вызывать потертостей, сдавливания, ущемления и наплывов мягких тканей, нарушений кровообращения и бо</w:t>
      </w:r>
      <w:r>
        <w:t xml:space="preserve">левых ощущений при пользовании </w:t>
      </w:r>
      <w:r w:rsidRPr="00E94B80">
        <w:t>издели</w:t>
      </w:r>
      <w:r w:rsidR="001746F4">
        <w:t>ем</w:t>
      </w:r>
      <w:r w:rsidRPr="00E94B80">
        <w:t xml:space="preserve">. </w:t>
      </w:r>
    </w:p>
    <w:p w:rsidR="00B8609C" w:rsidRDefault="00B8609C" w:rsidP="001746F4">
      <w:pPr>
        <w:ind w:firstLine="709"/>
        <w:jc w:val="both"/>
      </w:pPr>
      <w:r w:rsidRPr="00E94B80">
        <w:t>Узлы протез</w:t>
      </w:r>
      <w:r>
        <w:t>а</w:t>
      </w:r>
      <w:r w:rsidRPr="00E94B80">
        <w:t xml:space="preserve"> должны быть стойкими к воздействию физиологических растворов. </w:t>
      </w:r>
    </w:p>
    <w:p w:rsidR="001746F4" w:rsidRDefault="001746F4" w:rsidP="001746F4">
      <w:pPr>
        <w:suppressAutoHyphens/>
        <w:autoSpaceDE w:val="0"/>
        <w:ind w:firstLine="709"/>
        <w:jc w:val="both"/>
        <w:rPr>
          <w:rFonts w:eastAsia="Arial"/>
          <w:kern w:val="2"/>
          <w:lang w:eastAsia="ar-SA"/>
        </w:rPr>
      </w:pPr>
      <w:r>
        <w:rPr>
          <w:rFonts w:eastAsia="Arial"/>
          <w:kern w:val="2"/>
          <w:lang w:eastAsia="ar-SA"/>
        </w:rPr>
        <w:t>Металлические части протеза должны быть изготовлены из коррозийно-стойких материалов или защищены от коррозии специальными покрытиями.</w:t>
      </w:r>
    </w:p>
    <w:p w:rsidR="00B8609C" w:rsidRPr="00401B36" w:rsidRDefault="00B8609C" w:rsidP="00B8609C">
      <w:pPr>
        <w:ind w:firstLine="720"/>
        <w:jc w:val="both"/>
      </w:pPr>
      <w:r w:rsidRPr="00401B36">
        <w:t xml:space="preserve">Требования к </w:t>
      </w:r>
      <w:r w:rsidR="001746F4">
        <w:t xml:space="preserve">функциональным и </w:t>
      </w:r>
      <w:r w:rsidRPr="00401B36">
        <w:t>техническим характеристикам определяются с учетом уровня ампутации и модулирования, применяемого в протезировании:</w:t>
      </w:r>
    </w:p>
    <w:p w:rsidR="00B8609C" w:rsidRPr="00401B36" w:rsidRDefault="00B8609C" w:rsidP="00B8609C">
      <w:pPr>
        <w:ind w:firstLine="720"/>
        <w:jc w:val="both"/>
      </w:pPr>
      <w:r w:rsidRPr="00401B36">
        <w:t>–</w:t>
      </w:r>
      <w:r>
        <w:t xml:space="preserve"> протез нижней</w:t>
      </w:r>
      <w:r w:rsidRPr="00401B36">
        <w:t xml:space="preserve"> конечности должен восполнять форму и внешний вид отсутствующей её части;</w:t>
      </w:r>
    </w:p>
    <w:p w:rsidR="00B8609C" w:rsidRPr="00401B36" w:rsidRDefault="00B8609C" w:rsidP="00B8609C">
      <w:pPr>
        <w:ind w:firstLine="720"/>
        <w:jc w:val="both"/>
      </w:pPr>
      <w:r w:rsidRPr="00401B36">
        <w:t xml:space="preserve">– </w:t>
      </w:r>
      <w:r w:rsidR="001746F4">
        <w:t xml:space="preserve">приемная </w:t>
      </w:r>
      <w:r w:rsidRPr="00401B36">
        <w:t xml:space="preserve">гильза протеза </w:t>
      </w:r>
      <w:r>
        <w:t>нижней</w:t>
      </w:r>
      <w:r w:rsidRPr="00401B36">
        <w:t xml:space="preserve"> конечности должна быть изготовлена по индивидуальным параметрам пациента и предназнач</w:t>
      </w:r>
      <w:r>
        <w:t>ена</w:t>
      </w:r>
      <w:r w:rsidRPr="00401B36">
        <w:t xml:space="preserve"> для размещения в ней культи или пораженной конечности, обеспечивая взаимодействие человека с протезом конечности;</w:t>
      </w:r>
    </w:p>
    <w:p w:rsidR="00B8609C" w:rsidRDefault="00B8609C" w:rsidP="00B8609C">
      <w:pPr>
        <w:ind w:firstLine="720"/>
        <w:jc w:val="both"/>
      </w:pPr>
      <w:r w:rsidRPr="00401B36">
        <w:t xml:space="preserve">– функциональный узел протеза </w:t>
      </w:r>
      <w:r>
        <w:t>нижней</w:t>
      </w:r>
      <w:r w:rsidRPr="00401B36">
        <w:t xml:space="preserve"> конечности должен выполнять заданную функцию и иметь конструктивно-технологическую завершенность.</w:t>
      </w:r>
    </w:p>
    <w:p w:rsidR="00B8609C" w:rsidRDefault="00B8609C" w:rsidP="00B8609C">
      <w:pPr>
        <w:autoSpaceDE w:val="0"/>
        <w:autoSpaceDN w:val="0"/>
        <w:adjustRightInd w:val="0"/>
        <w:ind w:firstLine="709"/>
        <w:jc w:val="both"/>
        <w:rPr>
          <w:bCs/>
          <w:kern w:val="36"/>
        </w:rPr>
      </w:pPr>
      <w:r w:rsidRPr="004A4CAC">
        <w:rPr>
          <w:bCs/>
          <w:kern w:val="36"/>
        </w:rPr>
        <w:t xml:space="preserve">Работы по изготовлению </w:t>
      </w:r>
      <w:r w:rsidRPr="00E94B80">
        <w:t>протез</w:t>
      </w:r>
      <w:r>
        <w:t>ов нижних конечностей</w:t>
      </w:r>
      <w:r w:rsidRPr="004A4CAC">
        <w:rPr>
          <w:bCs/>
          <w:kern w:val="36"/>
        </w:rPr>
        <w:t xml:space="preserve"> следует выполнять в соответствии с требованиями</w:t>
      </w:r>
      <w:r>
        <w:rPr>
          <w:bCs/>
          <w:kern w:val="36"/>
        </w:rPr>
        <w:t>:</w:t>
      </w:r>
    </w:p>
    <w:p w:rsidR="00B8609C" w:rsidRPr="001C4E26" w:rsidRDefault="00B8609C" w:rsidP="00B8609C">
      <w:pPr>
        <w:pStyle w:val="a7"/>
        <w:numPr>
          <w:ilvl w:val="0"/>
          <w:numId w:val="6"/>
        </w:numPr>
        <w:autoSpaceDE w:val="0"/>
        <w:autoSpaceDN w:val="0"/>
        <w:adjustRightInd w:val="0"/>
        <w:jc w:val="both"/>
        <w:rPr>
          <w:rFonts w:eastAsiaTheme="minorHAnsi"/>
          <w:lang w:eastAsia="en-US"/>
        </w:rPr>
      </w:pPr>
      <w:r w:rsidRPr="001C4E26">
        <w:rPr>
          <w:rFonts w:eastAsiaTheme="minorHAnsi"/>
          <w:lang w:eastAsia="en-US"/>
        </w:rPr>
        <w:t>Национальн</w:t>
      </w:r>
      <w:r>
        <w:rPr>
          <w:rFonts w:eastAsiaTheme="minorHAnsi"/>
          <w:lang w:eastAsia="en-US"/>
        </w:rPr>
        <w:t xml:space="preserve">ого стандарта Российской Федерации </w:t>
      </w:r>
      <w:r w:rsidRPr="001C4E26">
        <w:rPr>
          <w:rFonts w:eastAsiaTheme="minorHAnsi"/>
          <w:lang w:eastAsia="en-US"/>
        </w:rPr>
        <w:t>ГОСТ Р 51632-2021</w:t>
      </w:r>
      <w:r>
        <w:rPr>
          <w:rFonts w:eastAsiaTheme="minorHAnsi"/>
          <w:lang w:eastAsia="en-US"/>
        </w:rPr>
        <w:t xml:space="preserve"> «</w:t>
      </w:r>
      <w:r w:rsidRPr="001C4E26">
        <w:rPr>
          <w:rFonts w:eastAsiaTheme="minorHAnsi"/>
          <w:lang w:eastAsia="en-US"/>
        </w:rPr>
        <w:t>Технические средства реабилитации людей с ограничениями жизнедеятельности. Общие технические требования и методы испытаний</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1C4E26">
        <w:rPr>
          <w:rFonts w:eastAsiaTheme="minorHAnsi"/>
          <w:lang w:eastAsia="en-US"/>
        </w:rPr>
        <w:t>Национальн</w:t>
      </w:r>
      <w:r>
        <w:rPr>
          <w:rFonts w:eastAsiaTheme="minorHAnsi"/>
          <w:lang w:eastAsia="en-US"/>
        </w:rPr>
        <w:t>ого</w:t>
      </w:r>
      <w:r w:rsidRPr="001C4E26">
        <w:rPr>
          <w:rFonts w:eastAsiaTheme="minorHAnsi"/>
          <w:lang w:eastAsia="en-US"/>
        </w:rPr>
        <w:t xml:space="preserve"> стандарт</w:t>
      </w:r>
      <w:r>
        <w:rPr>
          <w:rFonts w:eastAsiaTheme="minorHAnsi"/>
          <w:lang w:eastAsia="en-US"/>
        </w:rPr>
        <w:t>а</w:t>
      </w:r>
      <w:r w:rsidRPr="001C4E26">
        <w:rPr>
          <w:rFonts w:eastAsiaTheme="minorHAnsi"/>
          <w:lang w:eastAsia="en-US"/>
        </w:rPr>
        <w:t xml:space="preserve"> Российской Федерации</w:t>
      </w:r>
      <w:r>
        <w:rPr>
          <w:rFonts w:eastAsiaTheme="minorHAnsi"/>
          <w:lang w:eastAsia="en-US"/>
        </w:rPr>
        <w:t xml:space="preserve"> </w:t>
      </w:r>
      <w:r w:rsidRPr="001C4E26">
        <w:rPr>
          <w:rFonts w:eastAsiaTheme="minorHAnsi"/>
          <w:lang w:eastAsia="en-US"/>
        </w:rPr>
        <w:t xml:space="preserve">ГОСТ Р 52770-2016 </w:t>
      </w:r>
      <w:r>
        <w:rPr>
          <w:rFonts w:eastAsiaTheme="minorHAnsi"/>
          <w:lang w:eastAsia="en-US"/>
        </w:rPr>
        <w:t>«</w:t>
      </w:r>
      <w:r w:rsidRPr="001C4E26">
        <w:rPr>
          <w:rFonts w:eastAsiaTheme="minorHAnsi"/>
          <w:lang w:eastAsia="en-US"/>
        </w:rPr>
        <w:t>Изделия медицинские. Требования безопасности. Методы санитарно-химических и токсикологических испытаний</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Национальн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Российской Федерации ГОСТ Р ИСО 22523-2007</w:t>
      </w:r>
      <w:r>
        <w:rPr>
          <w:rFonts w:eastAsiaTheme="minorHAnsi"/>
          <w:lang w:eastAsia="en-US"/>
        </w:rPr>
        <w:t xml:space="preserve"> «</w:t>
      </w:r>
      <w:r w:rsidRPr="0028394C">
        <w:rPr>
          <w:rFonts w:eastAsiaTheme="minorHAnsi"/>
          <w:lang w:eastAsia="en-US"/>
        </w:rPr>
        <w:t>Протезы конечностей и ортезы наружные. Требования и методы испытаний</w:t>
      </w:r>
      <w:r>
        <w:rPr>
          <w:rFonts w:eastAsiaTheme="minorHAnsi"/>
          <w:lang w:eastAsia="en-US"/>
        </w:rPr>
        <w:t>»;</w:t>
      </w:r>
    </w:p>
    <w:p w:rsidR="00B8609C" w:rsidRPr="00B8609C" w:rsidRDefault="00B8609C" w:rsidP="00B8609C">
      <w:pPr>
        <w:pStyle w:val="a7"/>
        <w:numPr>
          <w:ilvl w:val="0"/>
          <w:numId w:val="6"/>
        </w:numPr>
        <w:autoSpaceDE w:val="0"/>
        <w:autoSpaceDN w:val="0"/>
        <w:adjustRightInd w:val="0"/>
        <w:jc w:val="both"/>
        <w:rPr>
          <w:rFonts w:eastAsiaTheme="minorHAnsi"/>
          <w:lang w:eastAsia="en-US"/>
        </w:rPr>
      </w:pPr>
      <w:r w:rsidRPr="00B8609C">
        <w:rPr>
          <w:rFonts w:eastAsiaTheme="minorHAnsi"/>
          <w:lang w:eastAsia="en-US"/>
        </w:rPr>
        <w:t>Национальн</w:t>
      </w:r>
      <w:r>
        <w:rPr>
          <w:rFonts w:eastAsiaTheme="minorHAnsi"/>
          <w:lang w:eastAsia="en-US"/>
        </w:rPr>
        <w:t>ого</w:t>
      </w:r>
      <w:r w:rsidRPr="00B8609C">
        <w:rPr>
          <w:rFonts w:eastAsiaTheme="minorHAnsi"/>
          <w:lang w:eastAsia="en-US"/>
        </w:rPr>
        <w:t xml:space="preserve"> стандарт</w:t>
      </w:r>
      <w:r>
        <w:rPr>
          <w:rFonts w:eastAsiaTheme="minorHAnsi"/>
          <w:lang w:eastAsia="en-US"/>
        </w:rPr>
        <w:t>а</w:t>
      </w:r>
      <w:r w:rsidRPr="00B8609C">
        <w:rPr>
          <w:rFonts w:eastAsiaTheme="minorHAnsi"/>
          <w:lang w:eastAsia="en-US"/>
        </w:rPr>
        <w:t xml:space="preserve"> Российской Федерации</w:t>
      </w:r>
      <w:r>
        <w:rPr>
          <w:rFonts w:eastAsiaTheme="minorHAnsi"/>
          <w:lang w:eastAsia="en-US"/>
        </w:rPr>
        <w:t xml:space="preserve"> </w:t>
      </w:r>
      <w:r w:rsidRPr="00B8609C">
        <w:rPr>
          <w:rFonts w:eastAsiaTheme="minorHAnsi"/>
          <w:lang w:eastAsia="en-US"/>
        </w:rPr>
        <w:t>ГОСТ Р 51819-2017</w:t>
      </w:r>
      <w:r>
        <w:rPr>
          <w:rFonts w:eastAsiaTheme="minorHAnsi"/>
          <w:lang w:eastAsia="en-US"/>
        </w:rPr>
        <w:t xml:space="preserve"> «</w:t>
      </w:r>
      <w:r w:rsidRPr="00B8609C">
        <w:rPr>
          <w:rFonts w:eastAsiaTheme="minorHAnsi"/>
          <w:lang w:eastAsia="en-US"/>
        </w:rPr>
        <w:t>Протезирование и ортезирование верхних и нижних кон</w:t>
      </w:r>
      <w:r>
        <w:rPr>
          <w:rFonts w:eastAsiaTheme="minorHAnsi"/>
          <w:lang w:eastAsia="en-US"/>
        </w:rPr>
        <w:t>ечностей. Термины и определения»;</w:t>
      </w:r>
    </w:p>
    <w:p w:rsidR="0088148F" w:rsidRPr="0088148F" w:rsidRDefault="0088148F" w:rsidP="0088148F">
      <w:pPr>
        <w:pStyle w:val="a7"/>
        <w:numPr>
          <w:ilvl w:val="0"/>
          <w:numId w:val="6"/>
        </w:numPr>
        <w:autoSpaceDE w:val="0"/>
        <w:autoSpaceDN w:val="0"/>
        <w:adjustRightInd w:val="0"/>
        <w:jc w:val="both"/>
        <w:rPr>
          <w:rFonts w:eastAsiaTheme="minorHAnsi"/>
          <w:lang w:eastAsia="en-US"/>
        </w:rPr>
      </w:pPr>
      <w:r w:rsidRPr="0088148F">
        <w:rPr>
          <w:rFonts w:eastAsiaTheme="minorHAnsi"/>
          <w:lang w:eastAsia="en-US"/>
        </w:rPr>
        <w:t>Национальн</w:t>
      </w:r>
      <w:r>
        <w:rPr>
          <w:rFonts w:eastAsiaTheme="minorHAnsi"/>
          <w:lang w:eastAsia="en-US"/>
        </w:rPr>
        <w:t>ого</w:t>
      </w:r>
      <w:r w:rsidRPr="0088148F">
        <w:rPr>
          <w:rFonts w:eastAsiaTheme="minorHAnsi"/>
          <w:lang w:eastAsia="en-US"/>
        </w:rPr>
        <w:t xml:space="preserve"> стандарт</w:t>
      </w:r>
      <w:r>
        <w:rPr>
          <w:rFonts w:eastAsiaTheme="minorHAnsi"/>
          <w:lang w:eastAsia="en-US"/>
        </w:rPr>
        <w:t>а</w:t>
      </w:r>
      <w:r w:rsidRPr="0088148F">
        <w:rPr>
          <w:rFonts w:eastAsiaTheme="minorHAnsi"/>
          <w:lang w:eastAsia="en-US"/>
        </w:rPr>
        <w:t xml:space="preserve"> Российской Федерации. Реабилитационные мероприятия</w:t>
      </w:r>
      <w:r>
        <w:rPr>
          <w:rFonts w:eastAsiaTheme="minorHAnsi"/>
          <w:lang w:eastAsia="en-US"/>
        </w:rPr>
        <w:t xml:space="preserve"> </w:t>
      </w:r>
      <w:r w:rsidRPr="0088148F">
        <w:rPr>
          <w:rFonts w:eastAsiaTheme="minorHAnsi"/>
          <w:lang w:eastAsia="en-US"/>
        </w:rPr>
        <w:t>ГОСТ Р 53870-2021</w:t>
      </w:r>
      <w:r>
        <w:rPr>
          <w:rFonts w:eastAsiaTheme="minorHAnsi"/>
          <w:lang w:eastAsia="en-US"/>
        </w:rPr>
        <w:t xml:space="preserve"> «</w:t>
      </w:r>
      <w:r w:rsidRPr="0088148F">
        <w:rPr>
          <w:rFonts w:eastAsiaTheme="minorHAnsi"/>
          <w:lang w:eastAsia="en-US"/>
        </w:rPr>
        <w:t>Услуги по протезированию нижних конечностей. Состав, содержание</w:t>
      </w:r>
      <w:r>
        <w:rPr>
          <w:rFonts w:eastAsiaTheme="minorHAnsi"/>
          <w:lang w:eastAsia="en-US"/>
        </w:rPr>
        <w:t xml:space="preserve"> и порядок предоставления услуг»;</w:t>
      </w:r>
    </w:p>
    <w:p w:rsidR="008D5ABD" w:rsidRPr="008D5ABD" w:rsidRDefault="008D5ABD" w:rsidP="008D5ABD">
      <w:pPr>
        <w:pStyle w:val="a7"/>
        <w:numPr>
          <w:ilvl w:val="0"/>
          <w:numId w:val="6"/>
        </w:numPr>
        <w:autoSpaceDE w:val="0"/>
        <w:autoSpaceDN w:val="0"/>
        <w:adjustRightInd w:val="0"/>
        <w:jc w:val="both"/>
        <w:rPr>
          <w:rFonts w:eastAsiaTheme="minorHAnsi"/>
          <w:lang w:eastAsia="en-US"/>
        </w:rPr>
      </w:pPr>
      <w:r w:rsidRPr="008D5ABD">
        <w:rPr>
          <w:rFonts w:eastAsiaTheme="minorHAnsi"/>
          <w:lang w:eastAsia="en-US"/>
        </w:rPr>
        <w:t>Национальн</w:t>
      </w:r>
      <w:r>
        <w:rPr>
          <w:rFonts w:eastAsiaTheme="minorHAnsi"/>
          <w:lang w:eastAsia="en-US"/>
        </w:rPr>
        <w:t>ого</w:t>
      </w:r>
      <w:r w:rsidRPr="008D5ABD">
        <w:rPr>
          <w:rFonts w:eastAsiaTheme="minorHAnsi"/>
          <w:lang w:eastAsia="en-US"/>
        </w:rPr>
        <w:t xml:space="preserve"> стандарт</w:t>
      </w:r>
      <w:r>
        <w:rPr>
          <w:rFonts w:eastAsiaTheme="minorHAnsi"/>
          <w:lang w:eastAsia="en-US"/>
        </w:rPr>
        <w:t>а</w:t>
      </w:r>
      <w:r w:rsidRPr="008D5ABD">
        <w:rPr>
          <w:rFonts w:eastAsiaTheme="minorHAnsi"/>
          <w:lang w:eastAsia="en-US"/>
        </w:rPr>
        <w:t xml:space="preserve"> Российской Федерации ГОСТ Р 52876-2021</w:t>
      </w:r>
      <w:r>
        <w:rPr>
          <w:rFonts w:eastAsiaTheme="minorHAnsi"/>
          <w:lang w:eastAsia="en-US"/>
        </w:rPr>
        <w:t xml:space="preserve"> «</w:t>
      </w:r>
      <w:r w:rsidRPr="008D5ABD">
        <w:rPr>
          <w:rFonts w:eastAsiaTheme="minorHAnsi"/>
          <w:lang w:eastAsia="en-US"/>
        </w:rPr>
        <w:t>Услуги организаций реабилитации инвалидов вследствие боевых действий и вое</w:t>
      </w:r>
      <w:r>
        <w:rPr>
          <w:rFonts w:eastAsiaTheme="minorHAnsi"/>
          <w:lang w:eastAsia="en-US"/>
        </w:rPr>
        <w:t>нной травмы. Основные положения»;</w:t>
      </w:r>
    </w:p>
    <w:p w:rsidR="00B8609C" w:rsidRPr="0028394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10993-1-2021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1. Оценка и исследования в процессе менеджмента риска</w:t>
      </w:r>
      <w:r>
        <w:rPr>
          <w:rFonts w:eastAsiaTheme="minorHAnsi"/>
          <w:lang w:eastAsia="en-US"/>
        </w:rPr>
        <w:t>»;</w:t>
      </w:r>
    </w:p>
    <w:p w:rsidR="00B8609C" w:rsidRPr="0028394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10993-5-2011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5. Исследования на цитотоксичность: методы in vitro</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10993-10-2011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10. Исследование раздражающего и сенсибилизирующего действия</w:t>
      </w:r>
      <w:r w:rsidR="008D5ABD">
        <w:rPr>
          <w:rFonts w:eastAsiaTheme="minorHAnsi"/>
          <w:lang w:eastAsia="en-US"/>
        </w:rPr>
        <w:t>».</w:t>
      </w:r>
    </w:p>
    <w:p w:rsidR="00BC5673" w:rsidRDefault="00BC5673" w:rsidP="00BC5673">
      <w:pPr>
        <w:pStyle w:val="a7"/>
        <w:jc w:val="both"/>
      </w:pPr>
    </w:p>
    <w:p w:rsidR="006D7B98" w:rsidRDefault="006D7B98" w:rsidP="00796213">
      <w:pPr>
        <w:widowControl w:val="0"/>
        <w:ind w:firstLine="709"/>
        <w:contextualSpacing/>
        <w:jc w:val="both"/>
        <w:rPr>
          <w:rFonts w:eastAsia="Lucida Sans Unicode"/>
          <w:b/>
          <w:kern w:val="2"/>
        </w:rPr>
      </w:pPr>
      <w:r>
        <w:rPr>
          <w:rFonts w:eastAsia="Lucida Sans Unicode"/>
          <w:b/>
          <w:kern w:val="2"/>
        </w:rPr>
        <w:t>4</w:t>
      </w:r>
      <w:r w:rsidRPr="007C50B1">
        <w:rPr>
          <w:rFonts w:eastAsia="Lucida Sans Unicode"/>
          <w:b/>
          <w:kern w:val="2"/>
        </w:rPr>
        <w:t>. Требования к результатам работ и сроку выполнения:</w:t>
      </w:r>
    </w:p>
    <w:p w:rsidR="00C10813" w:rsidRDefault="006D7B98" w:rsidP="00796213">
      <w:pPr>
        <w:ind w:firstLine="709"/>
        <w:jc w:val="both"/>
      </w:pPr>
      <w:r w:rsidRPr="006717F1">
        <w:t xml:space="preserve">Работы по обеспечению </w:t>
      </w:r>
      <w:r>
        <w:t>Получателей</w:t>
      </w:r>
      <w:r w:rsidRPr="006717F1">
        <w:t xml:space="preserve"> протез</w:t>
      </w:r>
      <w:r>
        <w:t>ами</w:t>
      </w:r>
      <w:r w:rsidRPr="006717F1">
        <w:t xml:space="preserve"> нижн</w:t>
      </w:r>
      <w:r>
        <w:t>их</w:t>
      </w:r>
      <w:r w:rsidRPr="006717F1">
        <w:t xml:space="preserve"> конечност</w:t>
      </w:r>
      <w:r>
        <w:t>ей</w:t>
      </w:r>
      <w:r w:rsidRPr="006717F1">
        <w:t xml:space="preserve">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p>
    <w:p w:rsidR="00656CF8" w:rsidRPr="00EC6E73" w:rsidRDefault="006D7B98" w:rsidP="00656CF8">
      <w:pPr>
        <w:pStyle w:val="aa"/>
        <w:ind w:firstLine="709"/>
        <w:jc w:val="both"/>
        <w:rPr>
          <w:sz w:val="24"/>
          <w:szCs w:val="24"/>
        </w:rPr>
      </w:pPr>
      <w:r w:rsidRPr="00926146">
        <w:rPr>
          <w:sz w:val="24"/>
          <w:szCs w:val="24"/>
        </w:rPr>
        <w:t>Работы по обеспечению Получателей протезами должны</w:t>
      </w:r>
      <w:r w:rsidRPr="006717F1">
        <w:rPr>
          <w:sz w:val="24"/>
        </w:rPr>
        <w:t xml:space="preserve"> быть выполнены с надлежащим качеством и в установленные сроки</w:t>
      </w:r>
      <w:r w:rsidR="00C10813">
        <w:t xml:space="preserve"> </w:t>
      </w:r>
      <w:r w:rsidR="00C10813" w:rsidRPr="00EC6E73">
        <w:rPr>
          <w:sz w:val="24"/>
          <w:szCs w:val="24"/>
        </w:rPr>
        <w:t xml:space="preserve">с момента заключения государственного контракта по </w:t>
      </w:r>
      <w:r w:rsidR="00C10813" w:rsidRPr="00EC6E73">
        <w:rPr>
          <w:rStyle w:val="T2"/>
          <w:bCs/>
        </w:rPr>
        <w:t xml:space="preserve">01.12.2022 </w:t>
      </w:r>
      <w:r w:rsidR="00C10813" w:rsidRPr="00EC6E73">
        <w:rPr>
          <w:sz w:val="24"/>
          <w:szCs w:val="24"/>
        </w:rPr>
        <w:t xml:space="preserve">года, но не более 60 (Шестидесяти) календарных дней </w:t>
      </w:r>
      <w:r w:rsidR="00656CF8" w:rsidRPr="00EC6E73">
        <w:rPr>
          <w:sz w:val="24"/>
          <w:szCs w:val="24"/>
        </w:rPr>
        <w:t>с</w:t>
      </w:r>
      <w:r w:rsidR="00656CF8">
        <w:rPr>
          <w:sz w:val="24"/>
          <w:szCs w:val="24"/>
        </w:rPr>
        <w:t>о дня</w:t>
      </w:r>
      <w:r w:rsidR="00656CF8" w:rsidRPr="00EC6E73">
        <w:rPr>
          <w:sz w:val="24"/>
          <w:szCs w:val="24"/>
        </w:rPr>
        <w:t xml:space="preserve"> </w:t>
      </w:r>
      <w:r w:rsidR="00656CF8" w:rsidRPr="00BE4E1D">
        <w:rPr>
          <w:rStyle w:val="T8"/>
          <w:rFonts w:eastAsia="Arial Unicode MS"/>
          <w:b w:val="0"/>
          <w:color w:val="000000"/>
        </w:rPr>
        <w:t>обращения Получателя к Исполнителю с направлением.</w:t>
      </w:r>
    </w:p>
    <w:p w:rsidR="006D7B98" w:rsidRPr="001A08D0" w:rsidRDefault="006D7B98" w:rsidP="00656CF8">
      <w:pPr>
        <w:pStyle w:val="aa"/>
        <w:ind w:firstLine="709"/>
        <w:jc w:val="both"/>
      </w:pPr>
    </w:p>
    <w:p w:rsidR="006D7B98" w:rsidRPr="009F6BF6" w:rsidRDefault="006D7B98" w:rsidP="006D7B98">
      <w:pPr>
        <w:autoSpaceDE w:val="0"/>
        <w:autoSpaceDN w:val="0"/>
        <w:adjustRightInd w:val="0"/>
        <w:ind w:firstLine="709"/>
        <w:jc w:val="both"/>
        <w:rPr>
          <w:b/>
        </w:rPr>
      </w:pPr>
      <w:r>
        <w:rPr>
          <w:b/>
        </w:rPr>
        <w:t xml:space="preserve">5. </w:t>
      </w:r>
      <w:r w:rsidRPr="009F6BF6">
        <w:rPr>
          <w:b/>
        </w:rPr>
        <w:t>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521E77" w:rsidRDefault="006D7B98" w:rsidP="00521E77">
      <w:pPr>
        <w:pStyle w:val="a8"/>
        <w:spacing w:before="0" w:beforeAutospacing="0" w:after="0"/>
        <w:ind w:firstLine="709"/>
        <w:jc w:val="both"/>
      </w:pPr>
      <w:r>
        <w:t>Г</w:t>
      </w:r>
      <w:r w:rsidRPr="0065660C">
        <w:t xml:space="preserve">арантийный срок </w:t>
      </w:r>
      <w:r>
        <w:t xml:space="preserve">эксплуатации </w:t>
      </w:r>
      <w:r w:rsidRPr="0065660C">
        <w:t>для протез</w:t>
      </w:r>
      <w:r>
        <w:t>ов</w:t>
      </w:r>
      <w:r w:rsidRPr="0065660C">
        <w:t xml:space="preserve"> </w:t>
      </w:r>
      <w:r>
        <w:t>нижних</w:t>
      </w:r>
      <w:r w:rsidRPr="0065660C">
        <w:t xml:space="preserve"> конечност</w:t>
      </w:r>
      <w:r>
        <w:t>ей</w:t>
      </w:r>
      <w:r w:rsidRPr="0065660C">
        <w:t xml:space="preserve"> </w:t>
      </w:r>
      <w:r w:rsidR="007F4E0F">
        <w:rPr>
          <w:lang w:val="ru-RU"/>
        </w:rPr>
        <w:t xml:space="preserve">должен </w:t>
      </w:r>
      <w:r>
        <w:t>составля</w:t>
      </w:r>
      <w:r w:rsidR="007F4E0F">
        <w:rPr>
          <w:lang w:val="ru-RU"/>
        </w:rPr>
        <w:t>ть</w:t>
      </w:r>
      <w:r w:rsidRPr="0065660C">
        <w:t xml:space="preserve"> не менее </w:t>
      </w:r>
      <w:r>
        <w:t xml:space="preserve">12 месяцев. </w:t>
      </w:r>
      <w:r w:rsidRPr="0065660C">
        <w:t xml:space="preserve">В течение </w:t>
      </w:r>
      <w:r>
        <w:t>указанного</w:t>
      </w:r>
      <w:r w:rsidRPr="0065660C">
        <w:t xml:space="preserve"> срока предприятие</w:t>
      </w:r>
      <w:r>
        <w:t xml:space="preserve"> – </w:t>
      </w:r>
      <w:r w:rsidRPr="0065660C">
        <w:t>изготовитель обязано производить замену или ремонт изделия бесплатно.</w:t>
      </w:r>
      <w:r>
        <w:t xml:space="preserve"> </w:t>
      </w:r>
    </w:p>
    <w:p w:rsidR="006D7B98" w:rsidRDefault="006D7B98" w:rsidP="00521E77">
      <w:pPr>
        <w:pStyle w:val="a8"/>
        <w:spacing w:before="0" w:beforeAutospacing="0" w:after="0"/>
        <w:ind w:firstLine="709"/>
        <w:jc w:val="both"/>
      </w:pPr>
      <w:r>
        <w:t>Течение г</w:t>
      </w:r>
      <w:r w:rsidRPr="0065660C">
        <w:t>арантийн</w:t>
      </w:r>
      <w:r>
        <w:t>ого срока</w:t>
      </w:r>
      <w:r w:rsidRPr="0065660C">
        <w:t xml:space="preserve"> </w:t>
      </w:r>
      <w:r>
        <w:t>начинается с момента подписания Получателем акта приема-передачи выполненных работ.</w:t>
      </w:r>
    </w:p>
    <w:p w:rsidR="006D7B98" w:rsidRPr="005A41F5" w:rsidRDefault="006D7B98" w:rsidP="00521E77">
      <w:pPr>
        <w:contextualSpacing/>
        <w:jc w:val="both"/>
      </w:pPr>
      <w:r w:rsidRPr="005A41F5">
        <w:t xml:space="preserve">            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6D7B98" w:rsidRPr="00120FC1" w:rsidRDefault="006D7B98" w:rsidP="00521E77">
      <w:pPr>
        <w:pStyle w:val="a8"/>
        <w:spacing w:before="0" w:beforeAutospacing="0" w:after="0"/>
        <w:ind w:firstLine="709"/>
        <w:jc w:val="both"/>
        <w:rPr>
          <w:rFonts w:eastAsia="Calibri"/>
        </w:rPr>
      </w:pPr>
      <w:r w:rsidRPr="005A41F5">
        <w:rPr>
          <w:rFonts w:eastAsia="Calibri"/>
        </w:rPr>
        <w:t xml:space="preserve">Срок выполнения гарантийного ремонта </w:t>
      </w:r>
      <w:r w:rsidR="007F4E0F" w:rsidRPr="00FB33C9">
        <w:rPr>
          <w:rFonts w:eastAsia="Calibri"/>
          <w:lang w:eastAsia="en-US"/>
        </w:rPr>
        <w:t xml:space="preserve">(замены) </w:t>
      </w:r>
      <w:r w:rsidRPr="005A41F5">
        <w:rPr>
          <w:rFonts w:eastAsia="Calibri"/>
        </w:rPr>
        <w:t xml:space="preserve">не </w:t>
      </w:r>
      <w:r w:rsidRPr="005A41F5">
        <w:rPr>
          <w:rFonts w:eastAsia="Calibri"/>
          <w:lang w:val="ru-RU"/>
        </w:rPr>
        <w:t xml:space="preserve">должен </w:t>
      </w:r>
      <w:r w:rsidRPr="005A41F5">
        <w:rPr>
          <w:rFonts w:eastAsia="Calibri"/>
        </w:rPr>
        <w:t>превыша</w:t>
      </w:r>
      <w:r w:rsidRPr="005A41F5">
        <w:rPr>
          <w:rFonts w:eastAsia="Calibri"/>
          <w:lang w:val="ru-RU"/>
        </w:rPr>
        <w:t>ть</w:t>
      </w:r>
      <w:r w:rsidR="007F4E0F">
        <w:rPr>
          <w:rFonts w:eastAsia="Calibri"/>
          <w:lang w:val="ru-RU" w:eastAsia="en-US"/>
        </w:rPr>
        <w:t xml:space="preserve"> </w:t>
      </w:r>
      <w:r w:rsidR="007F4E0F" w:rsidRPr="00FB33C9">
        <w:rPr>
          <w:rFonts w:eastAsia="Calibri"/>
          <w:lang w:eastAsia="en-US"/>
        </w:rPr>
        <w:t xml:space="preserve">20 дней </w:t>
      </w:r>
      <w:r w:rsidRPr="005A41F5">
        <w:rPr>
          <w:rFonts w:eastAsia="Calibri"/>
        </w:rPr>
        <w:t>со дня обращения Получателя.</w:t>
      </w:r>
    </w:p>
    <w:p w:rsidR="00521E77" w:rsidRPr="006717F1" w:rsidRDefault="00521E77" w:rsidP="00521E77">
      <w:pPr>
        <w:keepNext/>
        <w:autoSpaceDE w:val="0"/>
        <w:ind w:firstLine="709"/>
        <w:jc w:val="both"/>
      </w:pPr>
      <w:r w:rsidRPr="006717F1">
        <w:t>Срок дополнительной гарантии качества изделия не должен превышать срока службы изделия.</w:t>
      </w:r>
    </w:p>
    <w:p w:rsidR="00521E77" w:rsidRDefault="00521E77" w:rsidP="00521E77">
      <w:pPr>
        <w:ind w:firstLine="709"/>
        <w:contextualSpacing/>
        <w:jc w:val="both"/>
        <w:rPr>
          <w:rFonts w:eastAsia="Lucida Sans Unicode"/>
          <w:kern w:val="2"/>
        </w:rPr>
      </w:pPr>
      <w:r w:rsidRPr="004343AF">
        <w:rPr>
          <w:rFonts w:eastAsia="Lucida Sans Unicode"/>
          <w:kern w:val="2"/>
        </w:rPr>
        <w:t xml:space="preserve">Срок пользования Изделиями устанавливается в соответствии с Приказом Министерства труда и социальной защиты Российской Федерации </w:t>
      </w:r>
      <w:r>
        <w:rPr>
          <w:bCs/>
        </w:rPr>
        <w:t xml:space="preserve">от </w:t>
      </w:r>
      <w:r w:rsidRPr="00D8331B">
        <w:rPr>
          <w:bCs/>
        </w:rPr>
        <w:t xml:space="preserve">05.03.2021 </w:t>
      </w:r>
      <w:r w:rsidRPr="004343AF">
        <w:t>№ 107н</w:t>
      </w:r>
      <w:r w:rsidRPr="004343AF">
        <w:rPr>
          <w:rFonts w:eastAsia="Lucida Sans Unicode"/>
          <w:kern w:val="1"/>
        </w:rPr>
        <w:t xml:space="preserve"> «Об утверждении сроков пользования техническими средствами реабилитации, протезами и протезно-ортопедическими изделиями»</w:t>
      </w:r>
      <w:r w:rsidRPr="004343AF">
        <w:rPr>
          <w:rFonts w:eastAsia="Lucida Sans Unicode"/>
          <w:kern w:val="2"/>
        </w:rPr>
        <w:t>.</w:t>
      </w:r>
    </w:p>
    <w:p w:rsidR="008A260B" w:rsidRDefault="008A260B" w:rsidP="00521E77">
      <w:pPr>
        <w:ind w:firstLine="709"/>
        <w:contextualSpacing/>
        <w:jc w:val="both"/>
        <w:rPr>
          <w:rFonts w:eastAsia="Lucida Sans Unicode"/>
          <w:kern w:val="2"/>
        </w:rPr>
      </w:pPr>
    </w:p>
    <w:p w:rsidR="008A260B" w:rsidRDefault="008A260B" w:rsidP="008A260B">
      <w:pPr>
        <w:ind w:firstLine="709"/>
        <w:jc w:val="both"/>
        <w:rPr>
          <w:b/>
        </w:rPr>
      </w:pPr>
      <w:r>
        <w:rPr>
          <w:b/>
        </w:rPr>
        <w:t xml:space="preserve">6. </w:t>
      </w:r>
      <w:r w:rsidRPr="00C22B0C">
        <w:rPr>
          <w:b/>
        </w:rPr>
        <w:t>Требование к пункту приема заказов и выдачи готовых изделий.</w:t>
      </w:r>
    </w:p>
    <w:p w:rsidR="008A260B" w:rsidRPr="00E12C50" w:rsidRDefault="008A260B" w:rsidP="008A260B">
      <w:pPr>
        <w:ind w:firstLine="709"/>
        <w:jc w:val="both"/>
      </w:pPr>
      <w:r w:rsidRPr="00C22B0C">
        <w:t>1.</w:t>
      </w:r>
      <w:r>
        <w:t xml:space="preserve"> Исполнитель обязан</w:t>
      </w:r>
      <w:r w:rsidRPr="00C22B0C">
        <w:t xml:space="preserve"> </w:t>
      </w:r>
      <w:r>
        <w:t>п</w:t>
      </w:r>
      <w:r w:rsidRPr="00E12C50">
        <w:t>редоставить доступное для Получателей помещение под размещение пункта (пунктов) приема в соответствии со статьей 15 Федерального закона от 24.11.1995 № 181 «О социальной защите инвалидов в Российской Федерации».</w:t>
      </w:r>
    </w:p>
    <w:p w:rsidR="008A260B" w:rsidRPr="00E12C50" w:rsidRDefault="008A260B" w:rsidP="008A260B">
      <w:pPr>
        <w:ind w:firstLine="709"/>
        <w:jc w:val="both"/>
      </w:pPr>
      <w:r w:rsidRPr="00E12C50">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«СНиП 35-01-2001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8A260B" w:rsidRPr="00E12C50" w:rsidRDefault="008A260B" w:rsidP="008A260B">
      <w:pPr>
        <w:ind w:firstLine="709"/>
        <w:jc w:val="both"/>
        <w:rPr>
          <w:b/>
          <w:i/>
        </w:rPr>
      </w:pPr>
      <w:r w:rsidRPr="00E12C50">
        <w:rPr>
          <w:b/>
          <w:i/>
        </w:rPr>
        <w:t xml:space="preserve">Входная группа </w:t>
      </w:r>
      <w:r w:rsidRPr="00E12C50">
        <w:rPr>
          <w:b/>
          <w:i/>
        </w:rPr>
        <w:tab/>
      </w:r>
    </w:p>
    <w:p w:rsidR="008A260B" w:rsidRPr="00E12C50" w:rsidRDefault="008A260B" w:rsidP="008A260B">
      <w:pPr>
        <w:ind w:firstLine="709"/>
        <w:jc w:val="both"/>
      </w:pPr>
      <w:r w:rsidRPr="00E12C50">
        <w:t>При перепадах высот Исполнитель должен учитывать наличие следующих элементов:</w:t>
      </w:r>
    </w:p>
    <w:p w:rsidR="008A260B" w:rsidRPr="00E12C50" w:rsidRDefault="008A260B" w:rsidP="008A260B">
      <w:pPr>
        <w:ind w:firstLine="709"/>
        <w:jc w:val="both"/>
      </w:pPr>
      <w:r w:rsidRPr="00E12C50">
        <w:t>- Пандус с поручнями;</w:t>
      </w:r>
    </w:p>
    <w:p w:rsidR="008A260B" w:rsidRPr="00E12C50" w:rsidRDefault="008A260B" w:rsidP="008A260B">
      <w:pPr>
        <w:ind w:firstLine="709"/>
        <w:jc w:val="both"/>
      </w:pPr>
      <w:r w:rsidRPr="00E12C50">
        <w:t xml:space="preserve">Пандус должен иметь нормативный угол наклона, непрерывное двухстороннее ограждение с поручнями шириной не более 0,9-1,0 м, высотой нижних поручней 0,7 м, а </w:t>
      </w:r>
      <w:r w:rsidRPr="00E12C50">
        <w:lastRenderedPageBreak/>
        <w:t>верхних 0,9 м (в соответствии с п. 5.1.14 – п. 5.1.16; п. 6.1.2 – п. 6.1.4; п. 6.2.9 – п. 6.2.11 СП 59.13330.2020).</w:t>
      </w:r>
    </w:p>
    <w:p w:rsidR="008A260B" w:rsidRPr="00E12C50" w:rsidRDefault="008A260B" w:rsidP="008A260B">
      <w:pPr>
        <w:ind w:firstLine="709"/>
        <w:jc w:val="both"/>
      </w:pPr>
      <w:r w:rsidRPr="00E12C50">
        <w:t>- Лестница с поручнями;</w:t>
      </w:r>
    </w:p>
    <w:p w:rsidR="008A260B" w:rsidRPr="00E12C50" w:rsidRDefault="008A260B" w:rsidP="008A260B">
      <w:pPr>
        <w:ind w:firstLine="709"/>
        <w:jc w:val="both"/>
      </w:pPr>
      <w:r w:rsidRPr="00E12C50">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п. 6.2.11 СП 59.13330.2020).</w:t>
      </w:r>
    </w:p>
    <w:p w:rsidR="008A260B" w:rsidRPr="00E12C50" w:rsidRDefault="008A260B" w:rsidP="008A260B">
      <w:pPr>
        <w:ind w:firstLine="709"/>
        <w:jc w:val="both"/>
      </w:pPr>
      <w:r w:rsidRPr="00E12C50">
        <w:t>Применение для Получателей вместо пандусов аппар</w:t>
      </w:r>
      <w:r>
        <w:t xml:space="preserve">елей не допускается на объекте </w:t>
      </w:r>
      <w:r w:rsidRPr="00E12C50">
        <w:t>(в соответствии с п. 6.1.2 СП 59.13330.2020).</w:t>
      </w:r>
    </w:p>
    <w:p w:rsidR="008A260B" w:rsidRPr="00E12C50" w:rsidRDefault="008A260B" w:rsidP="008A260B">
      <w:pPr>
        <w:ind w:firstLine="709"/>
        <w:jc w:val="both"/>
      </w:pPr>
      <w:r w:rsidRPr="00E12C50">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8A260B" w:rsidRPr="00E12C50" w:rsidRDefault="008A260B" w:rsidP="008A260B">
      <w:pPr>
        <w:ind w:firstLine="709"/>
        <w:jc w:val="both"/>
      </w:pPr>
      <w:r w:rsidRPr="00E12C50">
        <w:t>- Тактильно-контрастные указатели;</w:t>
      </w:r>
    </w:p>
    <w:p w:rsidR="008A260B" w:rsidRPr="00E12C50" w:rsidRDefault="008A260B" w:rsidP="008A260B">
      <w:pPr>
        <w:ind w:firstLine="709"/>
        <w:jc w:val="both"/>
      </w:pPr>
      <w:r w:rsidRPr="00E12C50">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A260B" w:rsidRPr="00E12C50" w:rsidRDefault="008A260B" w:rsidP="008A260B">
      <w:pPr>
        <w:ind w:firstLine="709"/>
        <w:jc w:val="both"/>
        <w:rPr>
          <w:b/>
          <w:i/>
        </w:rPr>
      </w:pPr>
      <w:r w:rsidRPr="00E12C50">
        <w:rPr>
          <w:b/>
          <w:i/>
        </w:rPr>
        <w:t>Пути движения внутри пункта (пунктов) приема</w:t>
      </w:r>
    </w:p>
    <w:p w:rsidR="008A260B" w:rsidRPr="00E12C50" w:rsidRDefault="008A260B" w:rsidP="008A260B">
      <w:pPr>
        <w:ind w:firstLine="709"/>
        <w:jc w:val="both"/>
      </w:pPr>
      <w:r w:rsidRPr="00E12C50">
        <w:t>При перепадах высот Исполнитель должен учитывать наличие следующих элементов:</w:t>
      </w:r>
    </w:p>
    <w:p w:rsidR="008A260B" w:rsidRPr="00E12C50" w:rsidRDefault="008A260B" w:rsidP="008A260B">
      <w:pPr>
        <w:ind w:firstLine="709"/>
        <w:jc w:val="both"/>
      </w:pPr>
      <w:r w:rsidRPr="00E12C50">
        <w:t xml:space="preserve">- Лифт, подъемная платформа, эскалатор; </w:t>
      </w:r>
    </w:p>
    <w:p w:rsidR="008A260B" w:rsidRPr="00E12C50" w:rsidRDefault="008A260B" w:rsidP="008A260B">
      <w:pPr>
        <w:ind w:firstLine="709"/>
        <w:jc w:val="both"/>
      </w:pPr>
      <w:r w:rsidRPr="00E12C50">
        <w:t xml:space="preserve">(в соответствии с п. 6.2.13 – п. 6.2.18 СП 59.13330.2020). </w:t>
      </w:r>
    </w:p>
    <w:p w:rsidR="008A260B" w:rsidRPr="00E12C50" w:rsidRDefault="008A260B" w:rsidP="008A260B">
      <w:pPr>
        <w:ind w:firstLine="709"/>
        <w:jc w:val="both"/>
      </w:pPr>
      <w:r w:rsidRPr="00E12C50">
        <w:t>Лифт должен иметь габариты не менее 1100х1400 мм (ширина х глубина).</w:t>
      </w:r>
    </w:p>
    <w:p w:rsidR="008A260B" w:rsidRPr="00E12C50" w:rsidRDefault="008A260B" w:rsidP="008A260B">
      <w:pPr>
        <w:ind w:firstLine="709"/>
        <w:jc w:val="both"/>
      </w:pPr>
      <w:r w:rsidRPr="00E12C50">
        <w:t>- Лестницы необходимо обеспечить противоскользящими контрастными полосами общей шириной 0,08-0,1 м (в соответствии с п. 6.2.8 СП 59.13330.2020).</w:t>
      </w:r>
    </w:p>
    <w:p w:rsidR="008A260B" w:rsidRPr="00E12C50" w:rsidRDefault="008A260B" w:rsidP="008A260B">
      <w:pPr>
        <w:ind w:firstLine="709"/>
        <w:jc w:val="both"/>
      </w:pPr>
      <w:r w:rsidRPr="00E12C50">
        <w:t>- Необходимо обеспечить зону досягаемости для посетителей в кресле-коляске в пределах, установленных в соответствии с п. 8.1.7 СП.59.133330.2020.</w:t>
      </w:r>
    </w:p>
    <w:p w:rsidR="008A260B" w:rsidRPr="00E12C50" w:rsidRDefault="008A260B" w:rsidP="008A260B">
      <w:pPr>
        <w:ind w:firstLine="709"/>
        <w:jc w:val="both"/>
      </w:pPr>
      <w:r w:rsidRPr="00E12C50">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A260B" w:rsidRPr="00E12C50" w:rsidRDefault="008A260B" w:rsidP="008A260B">
      <w:pPr>
        <w:ind w:firstLine="709"/>
        <w:jc w:val="both"/>
      </w:pPr>
      <w:r w:rsidRPr="00E12C50">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8A260B" w:rsidRPr="00E12C50" w:rsidRDefault="008A260B" w:rsidP="008A260B">
      <w:pPr>
        <w:ind w:firstLine="709"/>
        <w:jc w:val="both"/>
      </w:pPr>
      <w:r w:rsidRPr="00E12C50">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 6.2.3 СП 59.13330.2020).</w:t>
      </w:r>
    </w:p>
    <w:p w:rsidR="008A260B" w:rsidRPr="00E12C50" w:rsidRDefault="008A260B" w:rsidP="008A260B">
      <w:pPr>
        <w:ind w:firstLine="709"/>
        <w:jc w:val="both"/>
        <w:rPr>
          <w:b/>
          <w:i/>
        </w:rPr>
      </w:pPr>
      <w:r w:rsidRPr="00E12C50">
        <w:rPr>
          <w:b/>
          <w:i/>
        </w:rPr>
        <w:t>Пути эвакуации</w:t>
      </w:r>
    </w:p>
    <w:p w:rsidR="008A260B" w:rsidRPr="00E12C50" w:rsidRDefault="008A260B" w:rsidP="008A260B">
      <w:pPr>
        <w:ind w:firstLine="709"/>
        <w:jc w:val="both"/>
      </w:pPr>
      <w:r w:rsidRPr="00E12C50">
        <w:t>В случае невозможности соблюдения положений части 15 статьи 89 Федерального закона от 22.07.2008 №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8A260B" w:rsidRPr="00E12C50" w:rsidRDefault="008A260B" w:rsidP="008A260B">
      <w:pPr>
        <w:ind w:firstLine="709"/>
        <w:jc w:val="both"/>
      </w:pPr>
      <w:r w:rsidRPr="00E12C50">
        <w:t>Пути эвакуации помещений пункта (пунктов) приема должны обеспечивать безопасность посетителей (в соответствии с п.6.2.19-п.6.2.32 СП 59.13330.2020).</w:t>
      </w:r>
    </w:p>
    <w:p w:rsidR="008A260B" w:rsidRPr="00E12C50" w:rsidRDefault="008A260B" w:rsidP="008A260B">
      <w:pPr>
        <w:ind w:firstLine="709"/>
        <w:jc w:val="both"/>
      </w:pPr>
      <w:r w:rsidRPr="00E12C50">
        <w:t>Обеспечить систему двухсторонней связи с диспетчером или дежурным (в соответствии с п. 6.5.8 СП 59.13330.2020).</w:t>
      </w:r>
    </w:p>
    <w:p w:rsidR="008A260B" w:rsidRPr="00E12C50" w:rsidRDefault="008A260B" w:rsidP="008A260B">
      <w:pPr>
        <w:ind w:firstLine="709"/>
        <w:jc w:val="both"/>
      </w:pPr>
      <w:r>
        <w:t>2</w:t>
      </w:r>
      <w:r w:rsidRPr="00E12C50">
        <w:t xml:space="preserve">.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w:t>
      </w:r>
      <w:r w:rsidRPr="00E12C50">
        <w:lastRenderedPageBreak/>
        <w:t>свободным доступом Получателей. При чем не менее 1 (одной) оборудованной для посещения Получателями в соответствии с п. 6.3.3, 6.3.6, 6.3.9 СП 59.13330.2020).</w:t>
      </w:r>
    </w:p>
    <w:p w:rsidR="008A260B" w:rsidRPr="00E12C50" w:rsidRDefault="008A260B" w:rsidP="008A260B">
      <w:pPr>
        <w:ind w:firstLine="709"/>
        <w:jc w:val="both"/>
      </w:pPr>
      <w:r>
        <w:t>3</w:t>
      </w:r>
      <w:r w:rsidRPr="00E12C50">
        <w:t xml:space="preserve">.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8A260B" w:rsidRPr="00E12C50" w:rsidRDefault="008A260B" w:rsidP="008A260B">
      <w:pPr>
        <w:ind w:firstLine="709"/>
        <w:jc w:val="both"/>
      </w:pPr>
      <w:r>
        <w:t>4</w:t>
      </w:r>
      <w:r w:rsidRPr="00E12C50">
        <w:t xml:space="preserve">.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A260B" w:rsidRPr="00E12C50" w:rsidRDefault="008A260B" w:rsidP="008A260B">
      <w:pPr>
        <w:ind w:firstLine="709"/>
        <w:jc w:val="both"/>
      </w:pPr>
      <w:r>
        <w:t>5.</w:t>
      </w:r>
      <w:r w:rsidRPr="00E12C50">
        <w:t xml:space="preserve">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8A260B" w:rsidRPr="00E12C50" w:rsidRDefault="008A260B" w:rsidP="008A260B">
      <w:pPr>
        <w:ind w:firstLine="709"/>
        <w:jc w:val="both"/>
      </w:pPr>
      <w:r>
        <w:t>6</w:t>
      </w:r>
      <w:r w:rsidRPr="00E12C50">
        <w:t>.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260B" w:rsidRPr="00E12C50" w:rsidRDefault="008A260B" w:rsidP="008A260B">
      <w:pPr>
        <w:ind w:firstLine="709"/>
        <w:jc w:val="both"/>
      </w:pPr>
      <w:r w:rsidRPr="00E12C50">
        <w:t>- возможность беспрепятственного входа в объекты и выхода из них;</w:t>
      </w:r>
    </w:p>
    <w:p w:rsidR="008A260B" w:rsidRPr="00E12C50" w:rsidRDefault="008A260B" w:rsidP="008A260B">
      <w:pPr>
        <w:ind w:firstLine="709"/>
        <w:jc w:val="both"/>
      </w:pPr>
      <w:r w:rsidRPr="00E12C50">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8A260B" w:rsidRPr="00E12C50" w:rsidRDefault="008A260B" w:rsidP="008A260B">
      <w:pPr>
        <w:ind w:firstLine="709"/>
        <w:jc w:val="both"/>
      </w:pPr>
      <w:r w:rsidRPr="00E12C50">
        <w:t>- сопровождение Получателей, имеющих стойкие нарушения функции зрения и самостоятельного передвижения по территории объекта;</w:t>
      </w:r>
    </w:p>
    <w:p w:rsidR="008A260B" w:rsidRPr="00E12C50" w:rsidRDefault="008A260B" w:rsidP="008A260B">
      <w:pPr>
        <w:ind w:firstLine="709"/>
        <w:jc w:val="both"/>
      </w:pPr>
      <w:r w:rsidRPr="00E12C50">
        <w:t>- содействие Получателям при входе в объект и выходе из него, информирование Получателей о доступных маршрутах общественного транспорта;</w:t>
      </w:r>
    </w:p>
    <w:p w:rsidR="008A260B" w:rsidRPr="00E12C50" w:rsidRDefault="008A260B" w:rsidP="008A260B">
      <w:pPr>
        <w:ind w:firstLine="709"/>
        <w:jc w:val="both"/>
      </w:pPr>
      <w:r w:rsidRPr="00E12C50">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2443" w:rsidRPr="007F4E0F" w:rsidRDefault="008A260B" w:rsidP="008A260B">
      <w:pPr>
        <w:ind w:firstLine="709"/>
        <w:jc w:val="both"/>
        <w:rPr>
          <w:rFonts w:eastAsia="Lucida Sans Unicode"/>
          <w:b/>
          <w:bCs/>
          <w:kern w:val="2"/>
        </w:rPr>
      </w:pPr>
      <w:r w:rsidRPr="00E12C50">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w:t>
      </w:r>
      <w:r>
        <w:t>ии от 22 июня 2015 года № 386 н.</w:t>
      </w:r>
    </w:p>
    <w:p w:rsidR="00E036CA" w:rsidRDefault="002C11BD" w:rsidP="001514EC">
      <w:pPr>
        <w:suppressAutoHyphens/>
        <w:ind w:firstLine="709"/>
        <w:contextualSpacing/>
        <w:jc w:val="both"/>
      </w:pPr>
    </w:p>
    <w:sectPr w:rsidR="00E03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11256BE1"/>
    <w:multiLevelType w:val="hybridMultilevel"/>
    <w:tmpl w:val="FA1EF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D0E94"/>
    <w:multiLevelType w:val="multilevel"/>
    <w:tmpl w:val="D090CEFA"/>
    <w:lvl w:ilvl="0">
      <w:start w:val="8"/>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6EE3A53"/>
    <w:multiLevelType w:val="hybridMultilevel"/>
    <w:tmpl w:val="E884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C134E6"/>
    <w:multiLevelType w:val="hybridMultilevel"/>
    <w:tmpl w:val="B746A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B30AC4"/>
    <w:multiLevelType w:val="hybridMultilevel"/>
    <w:tmpl w:val="42EA6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2A"/>
    <w:rsid w:val="000014B5"/>
    <w:rsid w:val="001514EC"/>
    <w:rsid w:val="001746F4"/>
    <w:rsid w:val="001D0592"/>
    <w:rsid w:val="0028401B"/>
    <w:rsid w:val="002A7AFE"/>
    <w:rsid w:val="002C11BD"/>
    <w:rsid w:val="002D55DF"/>
    <w:rsid w:val="002E0985"/>
    <w:rsid w:val="002F4C3C"/>
    <w:rsid w:val="003146F0"/>
    <w:rsid w:val="00347FB8"/>
    <w:rsid w:val="00360747"/>
    <w:rsid w:val="003731CA"/>
    <w:rsid w:val="00386717"/>
    <w:rsid w:val="00453974"/>
    <w:rsid w:val="0049524F"/>
    <w:rsid w:val="004C3732"/>
    <w:rsid w:val="004D24CC"/>
    <w:rsid w:val="00510A72"/>
    <w:rsid w:val="00521E77"/>
    <w:rsid w:val="005723B0"/>
    <w:rsid w:val="005E16F6"/>
    <w:rsid w:val="00614439"/>
    <w:rsid w:val="00622D0E"/>
    <w:rsid w:val="00631553"/>
    <w:rsid w:val="006463F6"/>
    <w:rsid w:val="00656CF8"/>
    <w:rsid w:val="0069337F"/>
    <w:rsid w:val="006D7B98"/>
    <w:rsid w:val="006F2EAA"/>
    <w:rsid w:val="007570B8"/>
    <w:rsid w:val="00796213"/>
    <w:rsid w:val="007F4E0F"/>
    <w:rsid w:val="00815A2A"/>
    <w:rsid w:val="00823CAB"/>
    <w:rsid w:val="00877B74"/>
    <w:rsid w:val="0088148F"/>
    <w:rsid w:val="008A260B"/>
    <w:rsid w:val="008C3100"/>
    <w:rsid w:val="008D5ABD"/>
    <w:rsid w:val="00926146"/>
    <w:rsid w:val="009873C4"/>
    <w:rsid w:val="009F04DA"/>
    <w:rsid w:val="00A02080"/>
    <w:rsid w:val="00A11365"/>
    <w:rsid w:val="00A33AFC"/>
    <w:rsid w:val="00A44637"/>
    <w:rsid w:val="00A5054D"/>
    <w:rsid w:val="00B32198"/>
    <w:rsid w:val="00B63CE2"/>
    <w:rsid w:val="00B8609C"/>
    <w:rsid w:val="00BC5673"/>
    <w:rsid w:val="00BC5856"/>
    <w:rsid w:val="00BD1A3C"/>
    <w:rsid w:val="00C10813"/>
    <w:rsid w:val="00C31F06"/>
    <w:rsid w:val="00C500A0"/>
    <w:rsid w:val="00CB0D29"/>
    <w:rsid w:val="00CC2443"/>
    <w:rsid w:val="00CE4AAA"/>
    <w:rsid w:val="00CF6200"/>
    <w:rsid w:val="00D61A90"/>
    <w:rsid w:val="00DA12A5"/>
    <w:rsid w:val="00DF2708"/>
    <w:rsid w:val="00EA58E4"/>
    <w:rsid w:val="00EB4245"/>
    <w:rsid w:val="00F47ACC"/>
    <w:rsid w:val="00F86544"/>
    <w:rsid w:val="00FA44CE"/>
    <w:rsid w:val="00FE5139"/>
    <w:rsid w:val="00FF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B7577-A33E-4CA8-BD9B-3836D4C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C2443"/>
    <w:pPr>
      <w:widowControl w:val="0"/>
      <w:suppressLineNumbers/>
      <w:suppressAutoHyphens/>
    </w:pPr>
    <w:rPr>
      <w:rFonts w:ascii="Arial" w:eastAsia="Lucida Sans Unicode" w:hAnsi="Arial"/>
      <w:kern w:val="1"/>
      <w:sz w:val="20"/>
    </w:rPr>
  </w:style>
  <w:style w:type="paragraph" w:styleId="a4">
    <w:name w:val="No Spacing"/>
    <w:uiPriority w:val="1"/>
    <w:qFormat/>
    <w:rsid w:val="00877B7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873C4"/>
    <w:rPr>
      <w:rFonts w:ascii="Segoe UI" w:hAnsi="Segoe UI" w:cs="Segoe UI"/>
      <w:sz w:val="18"/>
      <w:szCs w:val="18"/>
    </w:rPr>
  </w:style>
  <w:style w:type="character" w:customStyle="1" w:styleId="a6">
    <w:name w:val="Текст выноски Знак"/>
    <w:basedOn w:val="a0"/>
    <w:link w:val="a5"/>
    <w:uiPriority w:val="99"/>
    <w:semiHidden/>
    <w:rsid w:val="009873C4"/>
    <w:rPr>
      <w:rFonts w:ascii="Segoe UI" w:eastAsia="Times New Roman" w:hAnsi="Segoe UI" w:cs="Segoe UI"/>
      <w:sz w:val="18"/>
      <w:szCs w:val="18"/>
      <w:lang w:eastAsia="ru-RU"/>
    </w:rPr>
  </w:style>
  <w:style w:type="character" w:customStyle="1" w:styleId="WW8Num3z0">
    <w:name w:val="WW8Num3z0"/>
    <w:rsid w:val="007570B8"/>
    <w:rPr>
      <w:rFonts w:ascii="Symbol" w:hAnsi="Symbol"/>
    </w:rPr>
  </w:style>
  <w:style w:type="paragraph" w:styleId="a7">
    <w:name w:val="List Paragraph"/>
    <w:basedOn w:val="a"/>
    <w:uiPriority w:val="34"/>
    <w:qFormat/>
    <w:rsid w:val="007570B8"/>
    <w:pPr>
      <w:ind w:left="720"/>
      <w:contextualSpacing/>
    </w:pPr>
  </w:style>
  <w:style w:type="character" w:customStyle="1" w:styleId="T2">
    <w:name w:val="T2"/>
    <w:rsid w:val="00EA58E4"/>
    <w:rPr>
      <w:rFonts w:ascii="Times New Roman" w:hAnsi="Times New Roman" w:cs="Times New Roman" w:hint="default"/>
      <w:sz w:val="24"/>
    </w:rPr>
  </w:style>
  <w:style w:type="paragraph" w:customStyle="1" w:styleId="P273">
    <w:name w:val="P273"/>
    <w:basedOn w:val="a"/>
    <w:rsid w:val="00EA58E4"/>
    <w:pPr>
      <w:suppressAutoHyphens/>
      <w:snapToGrid w:val="0"/>
      <w:spacing w:before="99" w:after="119"/>
      <w:jc w:val="center"/>
    </w:pPr>
    <w:rPr>
      <w:rFonts w:cs="Tahoma"/>
      <w:kern w:val="1"/>
      <w:szCs w:val="20"/>
    </w:rPr>
  </w:style>
  <w:style w:type="paragraph" w:customStyle="1" w:styleId="P367">
    <w:name w:val="P367"/>
    <w:basedOn w:val="a"/>
    <w:rsid w:val="00EA58E4"/>
    <w:pPr>
      <w:shd w:val="clear" w:color="auto" w:fill="FFFFFF"/>
      <w:suppressAutoHyphens/>
      <w:spacing w:before="99"/>
      <w:ind w:right="44"/>
    </w:pPr>
    <w:rPr>
      <w:rFonts w:cs="Tahoma"/>
      <w:kern w:val="1"/>
      <w:sz w:val="22"/>
      <w:szCs w:val="20"/>
      <w:lang w:eastAsia="ar-SA"/>
    </w:rPr>
  </w:style>
  <w:style w:type="paragraph" w:customStyle="1" w:styleId="ConsPlusNormal">
    <w:name w:val="ConsPlusNormal"/>
    <w:rsid w:val="0045397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8">
    <w:name w:val="Normal (Web)"/>
    <w:aliases w:val="Обычный (Web),Обычный (Web)1"/>
    <w:basedOn w:val="a"/>
    <w:link w:val="a9"/>
    <w:uiPriority w:val="99"/>
    <w:qFormat/>
    <w:rsid w:val="00B8609C"/>
    <w:pPr>
      <w:spacing w:before="100" w:beforeAutospacing="1" w:after="119"/>
    </w:pPr>
    <w:rPr>
      <w:lang w:val="x-none" w:eastAsia="x-none"/>
    </w:rPr>
  </w:style>
  <w:style w:type="character" w:customStyle="1" w:styleId="a9">
    <w:name w:val="Обычный (веб) Знак"/>
    <w:aliases w:val="Обычный (Web) Знак,Обычный (Web)1 Знак"/>
    <w:link w:val="a8"/>
    <w:locked/>
    <w:rsid w:val="00B8609C"/>
    <w:rPr>
      <w:rFonts w:ascii="Times New Roman" w:eastAsia="Times New Roman" w:hAnsi="Times New Roman" w:cs="Times New Roman"/>
      <w:sz w:val="24"/>
      <w:szCs w:val="24"/>
      <w:lang w:val="x-none" w:eastAsia="x-none"/>
    </w:rPr>
  </w:style>
  <w:style w:type="character" w:customStyle="1" w:styleId="T8">
    <w:name w:val="T8"/>
    <w:rsid w:val="006D7B98"/>
    <w:rPr>
      <w:rFonts w:ascii="Times New Roman" w:hAnsi="Times New Roman"/>
      <w:b/>
      <w:sz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2"/>
    <w:basedOn w:val="a"/>
    <w:link w:val="ab"/>
    <w:uiPriority w:val="99"/>
    <w:qFormat/>
    <w:rsid w:val="00C10813"/>
    <w:rPr>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10813"/>
    <w:rPr>
      <w:rFonts w:ascii="Times New Roman" w:eastAsia="Times New Roman" w:hAnsi="Times New Roman" w:cs="Times New Roman"/>
      <w:sz w:val="20"/>
      <w:szCs w:val="20"/>
      <w:lang w:eastAsia="ru-RU"/>
    </w:rPr>
  </w:style>
  <w:style w:type="character" w:styleId="ac">
    <w:name w:val="Hyperlink"/>
    <w:uiPriority w:val="99"/>
    <w:unhideWhenUsed/>
    <w:rsid w:val="00BC5673"/>
    <w:rPr>
      <w:color w:val="0563C1"/>
      <w:u w:val="single"/>
    </w:rPr>
  </w:style>
  <w:style w:type="paragraph" w:customStyle="1" w:styleId="P202">
    <w:name w:val="P202"/>
    <w:basedOn w:val="a"/>
    <w:rsid w:val="00BC5673"/>
    <w:pPr>
      <w:widowControl w:val="0"/>
      <w:shd w:val="clear" w:color="auto" w:fill="FFFFFF"/>
      <w:suppressAutoHyphens/>
      <w:spacing w:line="200" w:lineRule="atLeast"/>
      <w:ind w:right="43"/>
      <w:jc w:val="both"/>
    </w:pPr>
    <w:rPr>
      <w:rFonts w:eastAsia="Lucida Sans Unicode" w:cs="Tahoma"/>
      <w:kern w:val="1"/>
      <w:szCs w:val="20"/>
      <w:lang w:eastAsia="ar-SA"/>
    </w:rPr>
  </w:style>
  <w:style w:type="character" w:customStyle="1" w:styleId="WW-Absatz-Standardschriftart11111">
    <w:name w:val="WW-Absatz-Standardschriftart11111"/>
    <w:rsid w:val="00FA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096">
      <w:bodyDiv w:val="1"/>
      <w:marLeft w:val="0"/>
      <w:marRight w:val="0"/>
      <w:marTop w:val="0"/>
      <w:marBottom w:val="0"/>
      <w:divBdr>
        <w:top w:val="none" w:sz="0" w:space="0" w:color="auto"/>
        <w:left w:val="none" w:sz="0" w:space="0" w:color="auto"/>
        <w:bottom w:val="none" w:sz="0" w:space="0" w:color="auto"/>
        <w:right w:val="none" w:sz="0" w:space="0" w:color="auto"/>
      </w:divBdr>
    </w:div>
    <w:div w:id="1265577224">
      <w:bodyDiv w:val="1"/>
      <w:marLeft w:val="0"/>
      <w:marRight w:val="0"/>
      <w:marTop w:val="0"/>
      <w:marBottom w:val="0"/>
      <w:divBdr>
        <w:top w:val="none" w:sz="0" w:space="0" w:color="auto"/>
        <w:left w:val="none" w:sz="0" w:space="0" w:color="auto"/>
        <w:bottom w:val="none" w:sz="0" w:space="0" w:color="auto"/>
        <w:right w:val="none" w:sz="0" w:space="0" w:color="auto"/>
      </w:divBdr>
    </w:div>
    <w:div w:id="20168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2285</Words>
  <Characters>13028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Лахтанова Юлия Евгеньевна</dc:creator>
  <cp:keywords/>
  <dc:description/>
  <cp:lastModifiedBy>Лахтанова Юлия Евгеньевна</cp:lastModifiedBy>
  <cp:revision>72</cp:revision>
  <cp:lastPrinted>2022-05-25T02:55:00Z</cp:lastPrinted>
  <dcterms:created xsi:type="dcterms:W3CDTF">2022-02-03T07:45:00Z</dcterms:created>
  <dcterms:modified xsi:type="dcterms:W3CDTF">2022-07-29T11:00:00Z</dcterms:modified>
</cp:coreProperties>
</file>