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BA" w:rsidRPr="00F600F7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  <w:r>
        <w:rPr>
          <w:b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="000E1FA0">
        <w:rPr>
          <w:b/>
          <w:sz w:val="22"/>
          <w:szCs w:val="22"/>
        </w:rPr>
        <w:tab/>
      </w:r>
      <w:r w:rsidRPr="00F600F7">
        <w:rPr>
          <w:b/>
          <w:sz w:val="22"/>
          <w:szCs w:val="22"/>
        </w:rPr>
        <w:t>Приложение №1</w:t>
      </w:r>
    </w:p>
    <w:p w:rsidR="006602BA" w:rsidRPr="00F600F7" w:rsidRDefault="00C407D3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602BA" w:rsidRPr="00F600F7">
        <w:rPr>
          <w:b/>
          <w:sz w:val="22"/>
          <w:szCs w:val="22"/>
        </w:rPr>
        <w:t>Описание объекта закупки</w:t>
      </w:r>
    </w:p>
    <w:p w:rsidR="006602BA" w:rsidRPr="00F600F7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</w:p>
    <w:p w:rsidR="00E266C3" w:rsidRPr="00E266C3" w:rsidRDefault="00E266C3" w:rsidP="00E266C3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3"/>
          <w:szCs w:val="23"/>
        </w:rPr>
      </w:pPr>
      <w:r w:rsidRPr="00E266C3">
        <w:rPr>
          <w:b/>
          <w:sz w:val="23"/>
          <w:szCs w:val="23"/>
        </w:rPr>
        <w:t>П</w:t>
      </w:r>
      <w:r w:rsidRPr="00E266C3">
        <w:rPr>
          <w:b/>
          <w:spacing w:val="1"/>
          <w:sz w:val="23"/>
          <w:szCs w:val="23"/>
        </w:rPr>
        <w:t xml:space="preserve">оставка в 2023 году электронных ручных </w:t>
      </w:r>
      <w:proofErr w:type="spellStart"/>
      <w:r w:rsidRPr="00E266C3">
        <w:rPr>
          <w:b/>
          <w:spacing w:val="1"/>
          <w:sz w:val="23"/>
          <w:szCs w:val="23"/>
        </w:rPr>
        <w:t>видеоувеличителей</w:t>
      </w:r>
      <w:proofErr w:type="spellEnd"/>
      <w:r w:rsidRPr="00E266C3">
        <w:rPr>
          <w:b/>
          <w:spacing w:val="1"/>
          <w:sz w:val="23"/>
          <w:szCs w:val="23"/>
        </w:rPr>
        <w:t xml:space="preserve">. </w:t>
      </w:r>
    </w:p>
    <w:p w:rsidR="00E266C3" w:rsidRPr="00E266C3" w:rsidRDefault="00E266C3" w:rsidP="00E266C3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3"/>
          <w:szCs w:val="23"/>
        </w:rPr>
      </w:pPr>
      <w:r w:rsidRPr="00E266C3">
        <w:rPr>
          <w:b/>
          <w:color w:val="000000"/>
          <w:spacing w:val="1"/>
          <w:sz w:val="23"/>
          <w:szCs w:val="23"/>
        </w:rPr>
        <w:t>Количество - 140 штук.</w:t>
      </w:r>
    </w:p>
    <w:p w:rsidR="00E266C3" w:rsidRPr="00E266C3" w:rsidRDefault="00E266C3" w:rsidP="00E266C3">
      <w:pPr>
        <w:widowControl/>
        <w:jc w:val="both"/>
        <w:rPr>
          <w:sz w:val="23"/>
          <w:szCs w:val="23"/>
        </w:rPr>
      </w:pPr>
      <w:r w:rsidRPr="00E266C3">
        <w:rPr>
          <w:b/>
          <w:bCs/>
          <w:sz w:val="23"/>
          <w:szCs w:val="23"/>
        </w:rPr>
        <w:t xml:space="preserve">1. Описание объекта закупки (функциональные, технические и качественные характеристики): Электронный ручной </w:t>
      </w:r>
      <w:proofErr w:type="spellStart"/>
      <w:proofErr w:type="gramStart"/>
      <w:r w:rsidRPr="00E266C3">
        <w:rPr>
          <w:b/>
          <w:bCs/>
          <w:sz w:val="23"/>
          <w:szCs w:val="23"/>
        </w:rPr>
        <w:t>видеоувеличитель</w:t>
      </w:r>
      <w:proofErr w:type="spellEnd"/>
      <w:r w:rsidRPr="00E266C3">
        <w:rPr>
          <w:sz w:val="23"/>
          <w:szCs w:val="23"/>
        </w:rPr>
        <w:t xml:space="preserve">  предназначен</w:t>
      </w:r>
      <w:proofErr w:type="gramEnd"/>
      <w:r w:rsidRPr="00E266C3">
        <w:rPr>
          <w:sz w:val="23"/>
          <w:szCs w:val="23"/>
        </w:rPr>
        <w:t xml:space="preserve"> для чтения плоскопечатного текста лицами с остротой зрения 0,03-0,1. Специальные устройства для оптической коррекции слабовидения отвечают требованиям ГОСТ Р 51264-99, ГОСТ Р 51632-2021, ГОСТ Р ИСО 9999-2019. Электронные ручные </w:t>
      </w:r>
      <w:proofErr w:type="spellStart"/>
      <w:r w:rsidRPr="00E266C3">
        <w:rPr>
          <w:sz w:val="23"/>
          <w:szCs w:val="23"/>
        </w:rPr>
        <w:t>видеоувеличители</w:t>
      </w:r>
      <w:proofErr w:type="spellEnd"/>
      <w:r w:rsidRPr="00E266C3">
        <w:rPr>
          <w:sz w:val="23"/>
          <w:szCs w:val="23"/>
        </w:rPr>
        <w:t xml:space="preserve"> отвечают требованиям безопасности товара в соответствии с техническими регламентами Таможенного союза: ТР ТС 004\2011, ТР ТС 020\2011. Электронно-оптические средства имеют преимущества перед традиционными оптическими </w:t>
      </w:r>
      <w:proofErr w:type="gramStart"/>
      <w:r w:rsidRPr="00E266C3">
        <w:rPr>
          <w:sz w:val="23"/>
          <w:szCs w:val="23"/>
        </w:rPr>
        <w:t>изделиями  посредством</w:t>
      </w:r>
      <w:proofErr w:type="gramEnd"/>
      <w:r w:rsidRPr="00E266C3">
        <w:rPr>
          <w:sz w:val="23"/>
          <w:szCs w:val="23"/>
        </w:rPr>
        <w:t xml:space="preserve"> увеличения угловых размеров рассматриваемых объектов, увеличивая контрастность изображения, осуществляя вывод на экран увеличенного изображения, инверсии цвета (светлые буквы на темном фоне лучше различимы). Каждый электронный ручной </w:t>
      </w:r>
      <w:proofErr w:type="spellStart"/>
      <w:r w:rsidRPr="00E266C3">
        <w:rPr>
          <w:sz w:val="23"/>
          <w:szCs w:val="23"/>
        </w:rPr>
        <w:t>видеоувеличитель</w:t>
      </w:r>
      <w:proofErr w:type="spellEnd"/>
      <w:r w:rsidRPr="00E266C3">
        <w:rPr>
          <w:sz w:val="23"/>
          <w:szCs w:val="23"/>
        </w:rPr>
        <w:t xml:space="preserve"> упакован в индивидуальную транспортную тару с внутренней влагонепроницаемой бумагой. </w:t>
      </w:r>
    </w:p>
    <w:p w:rsidR="00E266C3" w:rsidRPr="00E266C3" w:rsidRDefault="00E266C3" w:rsidP="00E266C3">
      <w:pPr>
        <w:widowControl/>
        <w:jc w:val="both"/>
        <w:rPr>
          <w:b/>
          <w:spacing w:val="1"/>
        </w:rPr>
      </w:pPr>
      <w:r w:rsidRPr="00E266C3">
        <w:rPr>
          <w:sz w:val="23"/>
          <w:szCs w:val="23"/>
          <w:u w:val="single"/>
        </w:rPr>
        <w:t>Гарантийный срок</w:t>
      </w:r>
      <w:r>
        <w:rPr>
          <w:sz w:val="23"/>
          <w:szCs w:val="23"/>
        </w:rPr>
        <w:t xml:space="preserve"> -  составляет </w:t>
      </w:r>
      <w:r w:rsidRPr="00E266C3">
        <w:rPr>
          <w:sz w:val="23"/>
          <w:szCs w:val="23"/>
        </w:rPr>
        <w:t>24 (Двадцать четыре) месяца со дня подписания Получателем акта приема-передачи Товара</w:t>
      </w:r>
    </w:p>
    <w:p w:rsidR="00E266C3" w:rsidRPr="00E266C3" w:rsidRDefault="00E266C3" w:rsidP="00E266C3">
      <w:pPr>
        <w:widowControl/>
        <w:jc w:val="both"/>
        <w:rPr>
          <w:b/>
          <w:sz w:val="23"/>
          <w:szCs w:val="23"/>
        </w:rPr>
      </w:pPr>
      <w:r w:rsidRPr="00E266C3">
        <w:rPr>
          <w:b/>
          <w:sz w:val="23"/>
          <w:szCs w:val="23"/>
        </w:rPr>
        <w:t>2. Показатели, позволяющие определить соответствие закупаемого товара требованиям заказчика:</w:t>
      </w:r>
    </w:p>
    <w:tbl>
      <w:tblPr>
        <w:tblW w:w="0" w:type="auto"/>
        <w:tblInd w:w="177" w:type="dxa"/>
        <w:tblLayout w:type="fixed"/>
        <w:tblLook w:val="0000" w:firstRow="0" w:lastRow="0" w:firstColumn="0" w:lastColumn="0" w:noHBand="0" w:noVBand="0"/>
      </w:tblPr>
      <w:tblGrid>
        <w:gridCol w:w="2199"/>
        <w:gridCol w:w="5346"/>
        <w:gridCol w:w="5685"/>
        <w:gridCol w:w="1555"/>
      </w:tblGrid>
      <w:tr w:rsidR="00E266C3" w:rsidRPr="00E266C3" w:rsidTr="009E080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snapToGrid w:val="0"/>
              <w:jc w:val="center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Наименование закупаемого Товара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snapToGrid w:val="0"/>
              <w:jc w:val="center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Показатели, которые не могут изменяться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snapToGrid w:val="0"/>
              <w:jc w:val="center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Максимальные и (или) минимальные значения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snapToGrid w:val="0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Количество                                              (шт.)</w:t>
            </w:r>
          </w:p>
        </w:tc>
      </w:tr>
      <w:tr w:rsidR="00E266C3" w:rsidRPr="00E266C3" w:rsidTr="009E080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snapToGrid w:val="0"/>
              <w:jc w:val="both"/>
              <w:rPr>
                <w:b/>
                <w:sz w:val="23"/>
                <w:szCs w:val="23"/>
              </w:rPr>
            </w:pPr>
            <w:r w:rsidRPr="00E266C3">
              <w:rPr>
                <w:b/>
                <w:sz w:val="23"/>
                <w:szCs w:val="23"/>
              </w:rPr>
              <w:t xml:space="preserve">Электронный ручной </w:t>
            </w:r>
            <w:proofErr w:type="spellStart"/>
            <w:r w:rsidRPr="00E266C3">
              <w:rPr>
                <w:b/>
                <w:sz w:val="23"/>
                <w:szCs w:val="23"/>
              </w:rPr>
              <w:t>видеоувеличитель</w:t>
            </w:r>
            <w:proofErr w:type="spellEnd"/>
          </w:p>
          <w:p w:rsidR="00E266C3" w:rsidRPr="00E266C3" w:rsidRDefault="00E266C3" w:rsidP="00E266C3">
            <w:pPr>
              <w:widowControl/>
              <w:snapToGrid w:val="0"/>
              <w:jc w:val="both"/>
              <w:rPr>
                <w:b/>
                <w:sz w:val="23"/>
                <w:szCs w:val="23"/>
              </w:rPr>
            </w:pPr>
            <w:r w:rsidRPr="00E266C3">
              <w:rPr>
                <w:b/>
                <w:sz w:val="23"/>
                <w:szCs w:val="23"/>
              </w:rPr>
              <w:t>13-01-02</w:t>
            </w:r>
          </w:p>
          <w:p w:rsidR="00E266C3" w:rsidRPr="00E266C3" w:rsidRDefault="00E266C3" w:rsidP="00E266C3">
            <w:pPr>
              <w:widowControl/>
              <w:rPr>
                <w:sz w:val="23"/>
                <w:szCs w:val="23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snapToGrid w:val="0"/>
              <w:jc w:val="both"/>
            </w:pPr>
            <w:r w:rsidRPr="00E266C3">
              <w:rPr>
                <w:b/>
                <w:bCs/>
              </w:rPr>
              <w:t xml:space="preserve">Электронный ручной </w:t>
            </w:r>
            <w:proofErr w:type="spellStart"/>
            <w:r w:rsidRPr="00E266C3">
              <w:rPr>
                <w:b/>
                <w:bCs/>
              </w:rPr>
              <w:t>видеоувеличитель</w:t>
            </w:r>
            <w:proofErr w:type="spellEnd"/>
            <w:r w:rsidRPr="00E266C3">
              <w:t xml:space="preserve"> имеет следующие технические характеристики и режимы:</w:t>
            </w:r>
          </w:p>
          <w:p w:rsidR="00E266C3" w:rsidRPr="00E266C3" w:rsidRDefault="00E266C3" w:rsidP="00E266C3">
            <w:pPr>
              <w:jc w:val="both"/>
            </w:pPr>
            <w:r w:rsidRPr="00E266C3">
              <w:t xml:space="preserve">Электронный ручной </w:t>
            </w:r>
            <w:proofErr w:type="spellStart"/>
            <w:r w:rsidRPr="00E266C3">
              <w:t>видеоувеличитель</w:t>
            </w:r>
            <w:proofErr w:type="spellEnd"/>
            <w:r w:rsidRPr="00E266C3">
              <w:t xml:space="preserve"> обеспечивает высокое качество изображения без видимых геометрических искажений.</w:t>
            </w:r>
          </w:p>
          <w:p w:rsidR="00E266C3" w:rsidRPr="00E266C3" w:rsidRDefault="00E266C3" w:rsidP="00E266C3">
            <w:pPr>
              <w:jc w:val="both"/>
            </w:pPr>
            <w:r w:rsidRPr="00E266C3">
              <w:t>Режим фиксации изображения (стоп-кадр) на дисплее.</w:t>
            </w:r>
          </w:p>
          <w:p w:rsidR="00E266C3" w:rsidRPr="00E266C3" w:rsidRDefault="00E266C3" w:rsidP="00E266C3">
            <w:pPr>
              <w:jc w:val="both"/>
            </w:pPr>
            <w:r w:rsidRPr="00E266C3">
              <w:t>Режим записи изображения в память на флэш-карту.</w:t>
            </w:r>
          </w:p>
          <w:p w:rsidR="00E266C3" w:rsidRPr="00E266C3" w:rsidRDefault="00E266C3" w:rsidP="00E266C3">
            <w:pPr>
              <w:jc w:val="both"/>
            </w:pPr>
            <w:r w:rsidRPr="00E266C3">
              <w:t>Режим просмотра изображений, записанных на флэш-карте.</w:t>
            </w:r>
          </w:p>
          <w:p w:rsidR="00E266C3" w:rsidRPr="00E266C3" w:rsidRDefault="00E266C3" w:rsidP="00E266C3">
            <w:pPr>
              <w:jc w:val="both"/>
            </w:pPr>
            <w:r w:rsidRPr="00E266C3">
              <w:t xml:space="preserve">Включение и выключение, а также переключение режимов работы сопровождается звуковыми сигналами с возможностью регулировки уровня громкости.   </w:t>
            </w:r>
          </w:p>
          <w:p w:rsidR="00E266C3" w:rsidRPr="00E266C3" w:rsidRDefault="00E266C3" w:rsidP="00E266C3">
            <w:pPr>
              <w:jc w:val="both"/>
            </w:pPr>
            <w:r w:rsidRPr="00E266C3">
              <w:t>Питание от сети переменного тока при помощи сетевого адаптера и от встроенного аккумулятора или батареи.</w:t>
            </w:r>
          </w:p>
          <w:p w:rsidR="00E266C3" w:rsidRPr="00E266C3" w:rsidRDefault="00E266C3" w:rsidP="00E266C3">
            <w:pPr>
              <w:jc w:val="both"/>
            </w:pPr>
            <w:r w:rsidRPr="00E266C3">
              <w:t xml:space="preserve">Наличие светодиодного индикатора заряда </w:t>
            </w:r>
            <w:r w:rsidRPr="00E266C3">
              <w:lastRenderedPageBreak/>
              <w:t>батареи.</w:t>
            </w:r>
          </w:p>
          <w:p w:rsidR="00E266C3" w:rsidRPr="00E266C3" w:rsidRDefault="00E266C3" w:rsidP="00E266C3">
            <w:pPr>
              <w:jc w:val="both"/>
            </w:pPr>
            <w:r w:rsidRPr="00E266C3">
              <w:t>Наличие визуальной индикации разряда батареи.</w:t>
            </w:r>
          </w:p>
          <w:p w:rsidR="00E266C3" w:rsidRPr="00E266C3" w:rsidRDefault="00E266C3" w:rsidP="00E266C3">
            <w:pPr>
              <w:jc w:val="both"/>
            </w:pPr>
            <w:r w:rsidRPr="00E266C3">
              <w:t>Наличие разъемов: для подключения сетевого адаптера, выход на наушники и внешнюю акустическую систему, слот для флэш-карты.</w:t>
            </w:r>
          </w:p>
          <w:p w:rsidR="00E266C3" w:rsidRPr="00E266C3" w:rsidRDefault="00E266C3" w:rsidP="00E266C3">
            <w:pPr>
              <w:jc w:val="both"/>
            </w:pPr>
            <w:r w:rsidRPr="00E266C3">
              <w:t>В комплект поставки должны входить:</w:t>
            </w:r>
          </w:p>
          <w:p w:rsidR="00E266C3" w:rsidRPr="00E266C3" w:rsidRDefault="00E266C3" w:rsidP="00E266C3">
            <w:pPr>
              <w:jc w:val="both"/>
            </w:pPr>
            <w:r w:rsidRPr="00E266C3">
              <w:t xml:space="preserve">- электронный ручной </w:t>
            </w:r>
            <w:proofErr w:type="spellStart"/>
            <w:r w:rsidRPr="00E266C3">
              <w:t>видеоувеличитель</w:t>
            </w:r>
            <w:proofErr w:type="spellEnd"/>
            <w:r w:rsidRPr="00E266C3">
              <w:t xml:space="preserve"> со встроенным дисплеем;</w:t>
            </w:r>
          </w:p>
          <w:p w:rsidR="00E266C3" w:rsidRPr="00E266C3" w:rsidRDefault="00E266C3" w:rsidP="00E266C3">
            <w:pPr>
              <w:jc w:val="both"/>
            </w:pPr>
            <w:r w:rsidRPr="00E266C3">
              <w:t>- плоскопечатное (крупным шрифтом) и звуковое (на флэш-карте) руководство по эксплуатации;</w:t>
            </w:r>
          </w:p>
          <w:p w:rsidR="00E266C3" w:rsidRPr="00E266C3" w:rsidRDefault="00E266C3" w:rsidP="00E266C3">
            <w:pPr>
              <w:jc w:val="both"/>
            </w:pPr>
            <w:r w:rsidRPr="00E266C3">
              <w:t>- головной телефон (наушники);</w:t>
            </w:r>
          </w:p>
          <w:p w:rsidR="00E266C3" w:rsidRPr="00E266C3" w:rsidRDefault="00E266C3" w:rsidP="00E266C3">
            <w:pPr>
              <w:jc w:val="both"/>
            </w:pPr>
            <w:r w:rsidRPr="00E266C3">
              <w:t>- сетевой адаптер;</w:t>
            </w:r>
          </w:p>
          <w:p w:rsidR="00E266C3" w:rsidRPr="00E266C3" w:rsidRDefault="00E266C3" w:rsidP="00E266C3">
            <w:pPr>
              <w:jc w:val="both"/>
            </w:pPr>
            <w:r w:rsidRPr="00E266C3">
              <w:t xml:space="preserve">- сумка с ремнем для переноски; </w:t>
            </w:r>
          </w:p>
          <w:p w:rsidR="00E266C3" w:rsidRPr="00E266C3" w:rsidRDefault="00E266C3" w:rsidP="00E266C3">
            <w:pPr>
              <w:jc w:val="both"/>
            </w:pPr>
            <w:r w:rsidRPr="00E266C3">
              <w:t>- упаковочная коробка.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keepLines/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lastRenderedPageBreak/>
              <w:t>Наличие встроенного цветного высококонтрастного дисплея с размером по диагонали не менее 4,3 дюйма.</w:t>
            </w:r>
          </w:p>
          <w:p w:rsidR="00E266C3" w:rsidRPr="00E266C3" w:rsidRDefault="00E266C3" w:rsidP="00E266C3">
            <w:pPr>
              <w:keepLines/>
              <w:widowControl/>
              <w:suppressAutoHyphens w:val="0"/>
              <w:jc w:val="both"/>
              <w:rPr>
                <w:rFonts w:eastAsia="Times New Roman"/>
              </w:rPr>
            </w:pPr>
            <w:r w:rsidRPr="00E266C3">
              <w:rPr>
                <w:rFonts w:eastAsia="Times New Roman"/>
              </w:rPr>
              <w:t>Регулировка увеличения изображения в пределах: минимальное значение больше либо равно 2 крат, максимальное значение больше либо равно 20 крат.</w:t>
            </w:r>
          </w:p>
          <w:p w:rsidR="00E266C3" w:rsidRPr="00E266C3" w:rsidRDefault="00E266C3" w:rsidP="00E266C3">
            <w:pPr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Наличие не менее 8 режимов изображения: полноцветный и черно-белый естественной контрастности, высококонтрастные режимы для чтения текста (черный на белом фоне, белый на черном, желтый на синем, желтый на черном, красный на белом, синий на белом, синий на желтом).</w:t>
            </w:r>
          </w:p>
          <w:p w:rsidR="00E266C3" w:rsidRPr="00E266C3" w:rsidRDefault="00E266C3" w:rsidP="00E266C3">
            <w:pPr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Время непрерывной работы от встроенного аккумулятора или батареи не менее 2-х часов.</w:t>
            </w:r>
          </w:p>
          <w:p w:rsidR="00E266C3" w:rsidRPr="00E266C3" w:rsidRDefault="00E266C3" w:rsidP="00E266C3">
            <w:pPr>
              <w:jc w:val="both"/>
            </w:pPr>
            <w:r w:rsidRPr="00E266C3">
              <w:t>Габаритные размеры не более 140 х 75 х 37 (мм).</w:t>
            </w:r>
          </w:p>
          <w:p w:rsidR="00E266C3" w:rsidRPr="00E266C3" w:rsidRDefault="00E266C3" w:rsidP="00E266C3">
            <w:pPr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Вес (без сетевого адаптера) не более 280 грамм.</w:t>
            </w:r>
          </w:p>
          <w:p w:rsidR="00E266C3" w:rsidRPr="00E266C3" w:rsidRDefault="00E266C3" w:rsidP="00E266C3">
            <w:pPr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В комплект поставки должны входить:</w:t>
            </w:r>
          </w:p>
          <w:p w:rsidR="00E266C3" w:rsidRPr="00E266C3" w:rsidRDefault="00E266C3" w:rsidP="00E266C3">
            <w:pPr>
              <w:widowControl/>
              <w:tabs>
                <w:tab w:val="left" w:pos="0"/>
              </w:tabs>
              <w:snapToGrid w:val="0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- флэш-карта не менее 2Gb.</w:t>
            </w:r>
          </w:p>
          <w:p w:rsidR="00E266C3" w:rsidRPr="00E266C3" w:rsidRDefault="00E266C3" w:rsidP="00E266C3">
            <w:pPr>
              <w:widowControl/>
              <w:autoSpaceDE w:val="0"/>
              <w:ind w:right="132"/>
              <w:jc w:val="both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 xml:space="preserve"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</w:t>
            </w:r>
            <w:r w:rsidRPr="00E266C3">
              <w:rPr>
                <w:sz w:val="23"/>
                <w:szCs w:val="23"/>
              </w:rPr>
              <w:lastRenderedPageBreak/>
              <w:t>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  <w:p w:rsidR="00E266C3" w:rsidRPr="00E266C3" w:rsidRDefault="00E266C3" w:rsidP="00E266C3">
            <w:pPr>
              <w:widowControl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6C3" w:rsidRPr="00E266C3" w:rsidRDefault="00E266C3" w:rsidP="00E266C3">
            <w:pPr>
              <w:widowControl/>
              <w:tabs>
                <w:tab w:val="left" w:pos="1615"/>
              </w:tabs>
              <w:snapToGrid w:val="0"/>
              <w:jc w:val="center"/>
              <w:rPr>
                <w:sz w:val="23"/>
                <w:szCs w:val="23"/>
              </w:rPr>
            </w:pPr>
          </w:p>
          <w:p w:rsidR="00E266C3" w:rsidRPr="00E266C3" w:rsidRDefault="00E266C3" w:rsidP="00E266C3">
            <w:pPr>
              <w:widowControl/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</w:p>
          <w:p w:rsidR="00E266C3" w:rsidRPr="00E266C3" w:rsidRDefault="00E266C3" w:rsidP="00E266C3">
            <w:pPr>
              <w:widowControl/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</w:p>
          <w:p w:rsidR="00E266C3" w:rsidRPr="00E266C3" w:rsidRDefault="00E266C3" w:rsidP="00E266C3">
            <w:pPr>
              <w:widowControl/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  <w:r w:rsidRPr="00E266C3">
              <w:rPr>
                <w:sz w:val="23"/>
                <w:szCs w:val="23"/>
              </w:rPr>
              <w:t>140</w:t>
            </w:r>
          </w:p>
          <w:p w:rsidR="00E266C3" w:rsidRPr="00E266C3" w:rsidRDefault="00E266C3" w:rsidP="00E266C3">
            <w:pPr>
              <w:widowControl/>
              <w:tabs>
                <w:tab w:val="left" w:pos="1615"/>
              </w:tabs>
              <w:rPr>
                <w:sz w:val="23"/>
                <w:szCs w:val="23"/>
              </w:rPr>
            </w:pPr>
          </w:p>
          <w:p w:rsidR="00E266C3" w:rsidRPr="00E266C3" w:rsidRDefault="00E266C3" w:rsidP="00E266C3">
            <w:pPr>
              <w:widowControl/>
              <w:tabs>
                <w:tab w:val="left" w:pos="1615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E266C3" w:rsidRPr="00E266C3" w:rsidRDefault="00E266C3" w:rsidP="00E266C3">
      <w:pPr>
        <w:suppressAutoHyphens w:val="0"/>
        <w:jc w:val="both"/>
        <w:rPr>
          <w:u w:val="single"/>
        </w:rPr>
      </w:pPr>
    </w:p>
    <w:p w:rsidR="00E266C3" w:rsidRPr="00E266C3" w:rsidRDefault="00E266C3" w:rsidP="00E266C3">
      <w:pPr>
        <w:suppressAutoHyphens w:val="0"/>
        <w:jc w:val="both"/>
      </w:pPr>
      <w:r w:rsidRPr="00E266C3">
        <w:rPr>
          <w:u w:val="single"/>
        </w:rPr>
        <w:t>Место поставки Товара</w:t>
      </w:r>
      <w:r w:rsidRPr="00E266C3">
        <w:t xml:space="preserve">: территория г. Перми; </w:t>
      </w:r>
      <w:r w:rsidRPr="00E266C3">
        <w:rPr>
          <w:bCs/>
        </w:rPr>
        <w:t xml:space="preserve">после подписания Сторонами Акта выборочной </w:t>
      </w:r>
      <w:r w:rsidRPr="00E266C3">
        <w:t xml:space="preserve">проверки поставляемого товара – Пермский край, до места проживания Получателей. </w:t>
      </w:r>
    </w:p>
    <w:p w:rsidR="00E266C3" w:rsidRPr="00E266C3" w:rsidRDefault="00E266C3" w:rsidP="00E266C3">
      <w:pPr>
        <w:suppressAutoHyphens w:val="0"/>
        <w:jc w:val="both"/>
      </w:pPr>
      <w:r w:rsidRPr="00E266C3">
        <w:rPr>
          <w:u w:val="single"/>
        </w:rPr>
        <w:t xml:space="preserve">Весь объем Товара должен быть поставлен на территорию г. Перми </w:t>
      </w:r>
      <w:r w:rsidRPr="00E266C3">
        <w:t xml:space="preserve">- в течение </w:t>
      </w:r>
      <w:proofErr w:type="gramStart"/>
      <w:r w:rsidRPr="00E266C3">
        <w:t>5</w:t>
      </w:r>
      <w:r>
        <w:t xml:space="preserve"> </w:t>
      </w:r>
      <w:bookmarkStart w:id="0" w:name="_GoBack"/>
      <w:bookmarkEnd w:id="0"/>
      <w:r w:rsidRPr="00E266C3">
        <w:t xml:space="preserve"> (</w:t>
      </w:r>
      <w:proofErr w:type="gramEnd"/>
      <w:r w:rsidRPr="00E266C3">
        <w:t>Пяти) раб</w:t>
      </w:r>
      <w:r>
        <w:t>очих дней с даты</w:t>
      </w:r>
      <w:r w:rsidRPr="00E266C3">
        <w:t xml:space="preserve"> заключения Контракта.</w:t>
      </w:r>
    </w:p>
    <w:p w:rsidR="00E266C3" w:rsidRPr="00E266C3" w:rsidRDefault="00E266C3" w:rsidP="00E266C3">
      <w:pPr>
        <w:suppressAutoHyphens w:val="0"/>
      </w:pPr>
      <w:r w:rsidRPr="00E266C3">
        <w:t xml:space="preserve">Срок поставки Товара </w:t>
      </w:r>
      <w:r w:rsidRPr="00E266C3">
        <w:rPr>
          <w:u w:val="single"/>
        </w:rPr>
        <w:t>Получателям</w:t>
      </w:r>
      <w:r w:rsidRPr="00E266C3">
        <w:t xml:space="preserve">, </w:t>
      </w:r>
      <w:r w:rsidRPr="00E266C3">
        <w:rPr>
          <w:bCs/>
          <w:color w:val="000000"/>
        </w:rPr>
        <w:t xml:space="preserve">указанным в Реестре Получателей Товара, который предоставляется Поставщику Заказчиком, </w:t>
      </w:r>
      <w:r w:rsidRPr="00E266C3">
        <w:rPr>
          <w:color w:val="000000"/>
        </w:rPr>
        <w:t>в течение 10</w:t>
      </w:r>
      <w:r>
        <w:rPr>
          <w:color w:val="000000"/>
        </w:rPr>
        <w:t xml:space="preserve"> </w:t>
      </w:r>
      <w:r w:rsidRPr="00E266C3">
        <w:rPr>
          <w:color w:val="000000"/>
        </w:rPr>
        <w:t>(Десяти</w:t>
      </w:r>
      <w:r>
        <w:rPr>
          <w:color w:val="000000"/>
        </w:rPr>
        <w:t xml:space="preserve">) дней со дня </w:t>
      </w:r>
      <w:r w:rsidRPr="00E266C3">
        <w:rPr>
          <w:color w:val="000000"/>
        </w:rPr>
        <w:t xml:space="preserve">передачи Реестра Получателей Товара, но не ранее подписания Сторонами </w:t>
      </w:r>
      <w:r w:rsidRPr="00E266C3">
        <w:rPr>
          <w:bCs/>
        </w:rPr>
        <w:t xml:space="preserve">Акта выборочной </w:t>
      </w:r>
      <w:r w:rsidRPr="00E266C3">
        <w:t>проверки поставляемого товара.</w:t>
      </w:r>
    </w:p>
    <w:p w:rsidR="00E266C3" w:rsidRPr="00E266C3" w:rsidRDefault="00E266C3" w:rsidP="00E266C3">
      <w:pPr>
        <w:suppressAutoHyphens w:val="0"/>
      </w:pPr>
      <w:r w:rsidRPr="00E266C3">
        <w:t xml:space="preserve">Срок действия государственного контракта – </w:t>
      </w:r>
      <w:r w:rsidRPr="00E266C3">
        <w:rPr>
          <w:b/>
          <w:bCs/>
        </w:rPr>
        <w:t>21.12.2023 года.</w:t>
      </w:r>
    </w:p>
    <w:p w:rsidR="00E266C3" w:rsidRPr="00E266C3" w:rsidRDefault="00E266C3" w:rsidP="00E266C3">
      <w:pPr>
        <w:widowControl/>
        <w:tabs>
          <w:tab w:val="left" w:pos="1440"/>
          <w:tab w:val="left" w:pos="4831"/>
        </w:tabs>
        <w:spacing w:line="240" w:lineRule="atLeast"/>
        <w:ind w:firstLine="540"/>
        <w:jc w:val="center"/>
      </w:pPr>
    </w:p>
    <w:p w:rsidR="00E266C3" w:rsidRPr="00E266C3" w:rsidRDefault="00E266C3" w:rsidP="00E266C3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3"/>
          <w:szCs w:val="23"/>
        </w:rPr>
      </w:pPr>
    </w:p>
    <w:p w:rsidR="005B0272" w:rsidRPr="00E266C3" w:rsidRDefault="00E266C3" w:rsidP="00E266C3">
      <w:pPr>
        <w:suppressAutoHyphens w:val="0"/>
        <w:rPr>
          <w:sz w:val="22"/>
          <w:szCs w:val="22"/>
        </w:rPr>
      </w:pPr>
      <w:r w:rsidRPr="00F600F7">
        <w:rPr>
          <w:b/>
          <w:bCs/>
          <w:sz w:val="22"/>
          <w:szCs w:val="22"/>
        </w:rPr>
        <w:t xml:space="preserve"> </w:t>
      </w:r>
    </w:p>
    <w:p w:rsidR="005B0272" w:rsidRPr="00F600F7" w:rsidRDefault="005B0272" w:rsidP="005F74D3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2"/>
          <w:szCs w:val="22"/>
        </w:rPr>
      </w:pPr>
    </w:p>
    <w:p w:rsidR="005B0272" w:rsidRPr="00F600F7" w:rsidRDefault="005B0272" w:rsidP="005B0272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2"/>
          <w:szCs w:val="22"/>
        </w:rPr>
      </w:pPr>
    </w:p>
    <w:p w:rsidR="005B0272" w:rsidRPr="00F600F7" w:rsidRDefault="005B0272" w:rsidP="005B0272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2"/>
          <w:szCs w:val="22"/>
        </w:rPr>
      </w:pPr>
    </w:p>
    <w:p w:rsidR="005B0272" w:rsidRPr="005B0272" w:rsidRDefault="005B0272" w:rsidP="005B0272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3"/>
          <w:szCs w:val="23"/>
        </w:rPr>
      </w:pPr>
    </w:p>
    <w:p w:rsidR="005B0272" w:rsidRPr="005B0272" w:rsidRDefault="005B0272" w:rsidP="005B0272">
      <w:pPr>
        <w:keepNext/>
        <w:keepLines/>
        <w:widowControl/>
        <w:shd w:val="clear" w:color="auto" w:fill="FFFFFF"/>
        <w:tabs>
          <w:tab w:val="left" w:pos="0"/>
        </w:tabs>
        <w:suppressAutoHyphens w:val="0"/>
        <w:autoSpaceDE w:val="0"/>
        <w:spacing w:line="100" w:lineRule="atLeast"/>
        <w:jc w:val="both"/>
        <w:rPr>
          <w:b/>
          <w:bCs/>
          <w:sz w:val="23"/>
          <w:szCs w:val="23"/>
        </w:rPr>
      </w:pPr>
    </w:p>
    <w:p w:rsidR="005B0272" w:rsidRPr="005B0272" w:rsidRDefault="005B0272" w:rsidP="005B0272">
      <w:pPr>
        <w:widowControl/>
        <w:autoSpaceDE w:val="0"/>
        <w:jc w:val="both"/>
        <w:rPr>
          <w:sz w:val="23"/>
          <w:szCs w:val="23"/>
        </w:rPr>
      </w:pPr>
    </w:p>
    <w:p w:rsidR="005B0272" w:rsidRPr="005B0272" w:rsidRDefault="005B0272" w:rsidP="005B0272">
      <w:pPr>
        <w:widowControl/>
        <w:autoSpaceDE w:val="0"/>
        <w:jc w:val="both"/>
        <w:rPr>
          <w:sz w:val="23"/>
          <w:szCs w:val="23"/>
        </w:rPr>
      </w:pPr>
    </w:p>
    <w:p w:rsidR="005B0272" w:rsidRPr="005B0272" w:rsidRDefault="005B0272" w:rsidP="005B0272">
      <w:pPr>
        <w:widowControl/>
        <w:autoSpaceDE w:val="0"/>
        <w:jc w:val="both"/>
        <w:rPr>
          <w:sz w:val="23"/>
          <w:szCs w:val="23"/>
        </w:rPr>
      </w:pPr>
    </w:p>
    <w:p w:rsidR="005B0272" w:rsidRPr="005B0272" w:rsidRDefault="005B0272" w:rsidP="005B0272">
      <w:pPr>
        <w:widowControl/>
        <w:autoSpaceDE w:val="0"/>
        <w:jc w:val="both"/>
        <w:rPr>
          <w:sz w:val="23"/>
          <w:szCs w:val="23"/>
        </w:rPr>
      </w:pPr>
    </w:p>
    <w:p w:rsidR="005B0272" w:rsidRPr="005B0272" w:rsidRDefault="005B0272" w:rsidP="005B0272">
      <w:pPr>
        <w:widowControl/>
        <w:autoSpaceDE w:val="0"/>
        <w:jc w:val="both"/>
        <w:rPr>
          <w:sz w:val="23"/>
          <w:szCs w:val="23"/>
        </w:rPr>
      </w:pPr>
    </w:p>
    <w:p w:rsidR="00FB42CB" w:rsidRPr="005B0272" w:rsidRDefault="00FB42CB" w:rsidP="005B0272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sz w:val="23"/>
          <w:szCs w:val="23"/>
        </w:rPr>
      </w:pPr>
    </w:p>
    <w:sectPr w:rsidR="00FB42CB" w:rsidRPr="005B0272" w:rsidSect="000E1F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9E8"/>
    <w:rsid w:val="00035897"/>
    <w:rsid w:val="00084588"/>
    <w:rsid w:val="000A4475"/>
    <w:rsid w:val="000E1FA0"/>
    <w:rsid w:val="003A406B"/>
    <w:rsid w:val="00487792"/>
    <w:rsid w:val="004E191E"/>
    <w:rsid w:val="005B0272"/>
    <w:rsid w:val="005C0E17"/>
    <w:rsid w:val="005F74D3"/>
    <w:rsid w:val="006602BA"/>
    <w:rsid w:val="007138A5"/>
    <w:rsid w:val="008501FE"/>
    <w:rsid w:val="00864A14"/>
    <w:rsid w:val="00971357"/>
    <w:rsid w:val="009F4331"/>
    <w:rsid w:val="00C1229F"/>
    <w:rsid w:val="00C407D3"/>
    <w:rsid w:val="00D2719D"/>
    <w:rsid w:val="00DC37F2"/>
    <w:rsid w:val="00E1692B"/>
    <w:rsid w:val="00E266C3"/>
    <w:rsid w:val="00F600F7"/>
    <w:rsid w:val="00F85440"/>
    <w:rsid w:val="00FB42CB"/>
    <w:rsid w:val="00FC68C9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CBEA"/>
  <w15:docId w15:val="{191403BA-9F97-4051-A519-D66B3F7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0272"/>
    <w:pPr>
      <w:widowControl/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4E191E"/>
    <w:pPr>
      <w:ind w:left="720"/>
      <w:contextualSpacing/>
    </w:pPr>
  </w:style>
  <w:style w:type="paragraph" w:customStyle="1" w:styleId="2">
    <w:name w:val="Абзац списка2"/>
    <w:basedOn w:val="a"/>
    <w:rsid w:val="005F74D3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F600F7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Наталья Юрьевна</dc:creator>
  <cp:keywords/>
  <dc:description/>
  <cp:lastModifiedBy>Кириллова Светлана Николаевна</cp:lastModifiedBy>
  <cp:revision>27</cp:revision>
  <dcterms:created xsi:type="dcterms:W3CDTF">2022-10-26T10:31:00Z</dcterms:created>
  <dcterms:modified xsi:type="dcterms:W3CDTF">2023-11-07T12:33:00Z</dcterms:modified>
</cp:coreProperties>
</file>