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A9" w:rsidRPr="00F52EA9" w:rsidRDefault="00173B3F" w:rsidP="00F52EA9">
      <w:pPr>
        <w:jc w:val="right"/>
        <w:rPr>
          <w:i/>
          <w:sz w:val="22"/>
          <w:szCs w:val="22"/>
          <w:lang w:bidi="ru-RU"/>
        </w:rPr>
      </w:pPr>
      <w:r w:rsidRPr="00E22B14">
        <w:rPr>
          <w:i/>
        </w:rPr>
        <w:t>Приложение №</w:t>
      </w:r>
      <w:r>
        <w:rPr>
          <w:i/>
        </w:rPr>
        <w:t>3</w:t>
      </w:r>
      <w:r w:rsidRPr="00E22B14">
        <w:rPr>
          <w:i/>
        </w:rPr>
        <w:t xml:space="preserve"> </w:t>
      </w:r>
      <w:r w:rsidRPr="00217D35">
        <w:rPr>
          <w:i/>
          <w:sz w:val="22"/>
          <w:szCs w:val="22"/>
          <w:lang w:bidi="ru-RU"/>
        </w:rPr>
        <w:t xml:space="preserve">к </w:t>
      </w:r>
      <w:r w:rsidR="00F52EA9" w:rsidRPr="00F52EA9">
        <w:rPr>
          <w:i/>
          <w:sz w:val="22"/>
          <w:szCs w:val="22"/>
          <w:lang w:bidi="ru-RU"/>
        </w:rPr>
        <w:t>Извещению</w:t>
      </w:r>
    </w:p>
    <w:p w:rsidR="00173B3F" w:rsidRDefault="00F52EA9" w:rsidP="00F52EA9">
      <w:pPr>
        <w:jc w:val="right"/>
        <w:rPr>
          <w:i/>
          <w:sz w:val="22"/>
          <w:szCs w:val="22"/>
          <w:lang w:bidi="ru-RU"/>
        </w:rPr>
      </w:pPr>
      <w:r w:rsidRPr="00F52EA9">
        <w:rPr>
          <w:i/>
          <w:sz w:val="22"/>
          <w:szCs w:val="22"/>
          <w:lang w:bidi="ru-RU"/>
        </w:rPr>
        <w:t>об открытом аукционе в электронной форме</w:t>
      </w:r>
    </w:p>
    <w:p w:rsidR="00D605E1" w:rsidRPr="00671368" w:rsidRDefault="00D605E1" w:rsidP="00F52EA9">
      <w:pPr>
        <w:jc w:val="right"/>
        <w:rPr>
          <w:b/>
          <w:lang w:bidi="ru-RU"/>
        </w:rPr>
      </w:pPr>
    </w:p>
    <w:p w:rsidR="00173B3F" w:rsidRPr="005E3500" w:rsidRDefault="00173B3F" w:rsidP="00173B3F">
      <w:pPr>
        <w:jc w:val="center"/>
        <w:rPr>
          <w:b/>
          <w:bCs/>
          <w:sz w:val="26"/>
          <w:szCs w:val="26"/>
        </w:rPr>
      </w:pPr>
      <w:r w:rsidRPr="005E3500">
        <w:rPr>
          <w:b/>
          <w:bCs/>
          <w:sz w:val="26"/>
          <w:szCs w:val="26"/>
        </w:rPr>
        <w:t>Описание объекта закупки</w:t>
      </w:r>
    </w:p>
    <w:p w:rsidR="00173B3F" w:rsidRPr="005E3500" w:rsidRDefault="00173B3F" w:rsidP="00173B3F">
      <w:pPr>
        <w:jc w:val="center"/>
        <w:rPr>
          <w:b/>
          <w:bCs/>
          <w:sz w:val="26"/>
          <w:szCs w:val="26"/>
        </w:rPr>
      </w:pPr>
      <w:r w:rsidRPr="005E3500">
        <w:rPr>
          <w:b/>
          <w:bCs/>
          <w:sz w:val="26"/>
          <w:szCs w:val="26"/>
        </w:rPr>
        <w:t>(Техническое задание)</w:t>
      </w:r>
    </w:p>
    <w:p w:rsidR="000644BE" w:rsidRDefault="000644BE" w:rsidP="00173B3F">
      <w:pPr>
        <w:jc w:val="center"/>
        <w:rPr>
          <w:b/>
          <w:bCs/>
          <w:sz w:val="28"/>
          <w:szCs w:val="28"/>
        </w:rPr>
      </w:pPr>
    </w:p>
    <w:p w:rsidR="00986ED8" w:rsidRPr="00137DB8" w:rsidRDefault="00986ED8" w:rsidP="00986ED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37DB8">
        <w:rPr>
          <w:sz w:val="22"/>
          <w:szCs w:val="22"/>
        </w:rPr>
        <w:t>Выполнение работ по изготовлению аппаратов на нижние конечности для инвалидов и детей-инвалидов в 2023 году</w:t>
      </w:r>
    </w:p>
    <w:tbl>
      <w:tblPr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33"/>
      </w:tblGrid>
      <w:tr w:rsidR="00986ED8" w:rsidTr="002D7B8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ED8" w:rsidRDefault="00986ED8" w:rsidP="002D7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986ED8" w:rsidRDefault="00986ED8" w:rsidP="002D7B8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pStyle w:val="a7"/>
              <w:widowControl w:val="0"/>
              <w:ind w:left="7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Функциональные и технические характеристики</w:t>
            </w:r>
          </w:p>
        </w:tc>
      </w:tr>
      <w:tr w:rsidR="00986ED8" w:rsidTr="002D7B89">
        <w:trPr>
          <w:cantSplit/>
          <w:trHeight w:val="23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на голеностопный сустав</w:t>
            </w:r>
          </w:p>
          <w:p w:rsidR="00986ED8" w:rsidRDefault="00986ED8" w:rsidP="002D7B89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на голеностопный сустав, поддерживающий, фиксирующий, разгружающий, гильза голени и башмачок - кожаные с голеностопным шарниром, или аппарат с гильзой голени и ложементом для стопы, выполненные на основе акриловых смол или термопласта высокотемпературного и низкотемпературного с голеностопным шарниром (тип применяемого материала зависит от индивидуальных особенностей пациента). Аппарат   выполняется с элементами крепления, обеспечивающими надежную фиксацию изделия на конечности пациента.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– по индивидуальному слепку, наз</w:t>
            </w:r>
            <w:bookmarkStart w:id="0" w:name="_GoBack"/>
            <w:bookmarkEnd w:id="0"/>
            <w:r>
              <w:rPr>
                <w:sz w:val="22"/>
                <w:szCs w:val="22"/>
              </w:rPr>
              <w:t>начение – постоянное.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работ должен изготовить аппарат согласно медицинских назначений для конкретного пациента по индивидуальным параметрам.</w:t>
            </w:r>
          </w:p>
        </w:tc>
      </w:tr>
      <w:tr w:rsidR="00986ED8" w:rsidTr="002D7B8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на голеностопный и коленный суставы</w:t>
            </w:r>
          </w:p>
          <w:p w:rsidR="00986ED8" w:rsidRDefault="00986ED8" w:rsidP="002D7B89">
            <w:pPr>
              <w:keepNext/>
              <w:suppressLineNumbers/>
              <w:snapToGrid w:val="0"/>
              <w:rPr>
                <w:sz w:val="22"/>
                <w:szCs w:val="22"/>
              </w:rPr>
            </w:pPr>
          </w:p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на голеностопный и коленный суставы, поддерживающий, фиксирующий, разгружающий, гильза голени, бедра и башмачок кожаные с голеностопным и коленным шарниром, или аппарат с гильзой голени, бедра и ложементом для стопы, выполненных на основе акриловых смол или термопласта высокотемпературного и низкотемпературного с голеностопными коленным шарниром (тип применяемого материала зависит от индивидуальных особенностей пациента). Аппарат   выполнятся с элементами крепления, обеспечивающими надежную фиксацию изделия на конечности пациента.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– по индивидуальному слепку, назначение – постоянное.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работ должен изготовить аппарат согласно медицинских назначений для конкретного пациента по индивидуальным параметрам.</w:t>
            </w:r>
          </w:p>
        </w:tc>
      </w:tr>
      <w:tr w:rsidR="00986ED8" w:rsidTr="002D7B8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на коленный сустав</w:t>
            </w:r>
          </w:p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</w:p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на коленный сустав, поддерживающий, фиксирующий, разгружающий, гильзы голени и бедра кожаные или выполнены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 коленным шарниром, с замком или без замка в коленном шарнире (в зависимости от медицинских показаний для конкретного пациента). Аппарат выполняется с элементами крепления, обеспечивающими надежную фиксацию изделия на конечности пациента 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– по индивидуальному слепку, назначение – постоянное.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работ должен изготовить аппарат согласно медицинских назначений для конкретного пациента по индивидуальным параметрам.</w:t>
            </w:r>
          </w:p>
        </w:tc>
      </w:tr>
      <w:tr w:rsidR="00986ED8" w:rsidTr="002D7B8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на тазобедренный сустав </w:t>
            </w:r>
          </w:p>
          <w:p w:rsidR="00986ED8" w:rsidRDefault="00986ED8" w:rsidP="002D7B89">
            <w:pPr>
              <w:keepNext/>
              <w:suppressLineNumbers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на тазобедренный сустав, поддерживающий, фиксирующий, разгружающий, гильза бедра - кожаная или выполнена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 тазобедренным шарниром. С дополнительным креплением на туловище в виде корсета или </w:t>
            </w:r>
            <w:proofErr w:type="spellStart"/>
            <w:r>
              <w:rPr>
                <w:sz w:val="22"/>
                <w:szCs w:val="22"/>
              </w:rPr>
              <w:t>полукорсета</w:t>
            </w:r>
            <w:proofErr w:type="spellEnd"/>
            <w:r>
              <w:rPr>
                <w:sz w:val="22"/>
                <w:szCs w:val="22"/>
              </w:rPr>
              <w:t xml:space="preserve">. Аппарат   выполняется с элементами крепления, обеспечивающими надежную фиксацию изделия на пациенте. 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– по индивидуальному слепку, назначение – постоянное.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работ должен изготовить аппарат согласно медицинских назначений для конкретного пациента по индивидуальным параметрам.</w:t>
            </w:r>
          </w:p>
        </w:tc>
      </w:tr>
      <w:tr w:rsidR="00986ED8" w:rsidTr="002D7B8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ED8" w:rsidRDefault="00986ED8" w:rsidP="002D7B89">
            <w:pPr>
              <w:rPr>
                <w:rFonts w:eastAsia="Andale Sans UI"/>
                <w:sz w:val="22"/>
                <w:szCs w:val="22"/>
              </w:rPr>
            </w:pPr>
            <w:r>
              <w:rPr>
                <w:rFonts w:eastAsia="Andale Sans UI"/>
                <w:sz w:val="22"/>
                <w:szCs w:val="22"/>
              </w:rPr>
              <w:t xml:space="preserve">Аппарат на всю ногу </w:t>
            </w:r>
          </w:p>
          <w:p w:rsidR="00986ED8" w:rsidRDefault="00986ED8" w:rsidP="002D7B89">
            <w:pPr>
              <w:rPr>
                <w:rFonts w:eastAsia="Andale Sans UI"/>
                <w:sz w:val="22"/>
                <w:szCs w:val="22"/>
              </w:rPr>
            </w:pPr>
          </w:p>
          <w:p w:rsidR="00986ED8" w:rsidRDefault="00986ED8" w:rsidP="002D7B89">
            <w:pPr>
              <w:keepNext/>
              <w:keepLines/>
              <w:suppressLineNumbers/>
              <w:rPr>
                <w:rFonts w:eastAsia="Andale Sans UI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Аппарат на всю ногу, поддерживающий, фиксирующий, разгружающий, гильзы - кожаные с шинами, с сидением или без сидения – в зависимости от индивидуальных назначений для конкретного пациента, с башмачком или с креплением к ботинку, с голеностопным и коленным шарнирами, с замком или без замка в коленном шарнире (в зависимости от медицинских назначений для конкретного пациента). При необходимости   выполняется дополнительное крепление на туловище в виде корсета (</w:t>
            </w:r>
            <w:proofErr w:type="spellStart"/>
            <w:r>
              <w:rPr>
                <w:bCs/>
                <w:sz w:val="22"/>
                <w:szCs w:val="22"/>
              </w:rPr>
              <w:t>полукорсета</w:t>
            </w:r>
            <w:proofErr w:type="spellEnd"/>
            <w:r>
              <w:rPr>
                <w:bCs/>
                <w:sz w:val="22"/>
                <w:szCs w:val="22"/>
              </w:rPr>
              <w:t xml:space="preserve">) с использованием тазобедренного шарнира. </w:t>
            </w:r>
            <w:r>
              <w:rPr>
                <w:sz w:val="22"/>
                <w:szCs w:val="22"/>
              </w:rPr>
              <w:t>Аппарат выполняется с элементами крепления, обеспечивающими надежную фиксацию изделия на пациенте.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986ED8" w:rsidRDefault="00986ED8" w:rsidP="002D7B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Изготовление – по индивидуальному слепку, назначение – </w:t>
            </w:r>
            <w:r>
              <w:rPr>
                <w:sz w:val="22"/>
                <w:szCs w:val="22"/>
              </w:rPr>
              <w:t>постоянное</w:t>
            </w:r>
            <w:r>
              <w:rPr>
                <w:bCs/>
                <w:sz w:val="22"/>
                <w:szCs w:val="22"/>
              </w:rPr>
              <w:t>.</w:t>
            </w:r>
          </w:p>
          <w:p w:rsidR="00986ED8" w:rsidRDefault="00986ED8" w:rsidP="002D7B89">
            <w:pPr>
              <w:snapToGrid w:val="0"/>
              <w:jc w:val="both"/>
              <w:rPr>
                <w:rFonts w:eastAsia="Andale Sans UI"/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  <w:t xml:space="preserve">работ должен изготовить </w:t>
            </w:r>
            <w:r>
              <w:rPr>
                <w:rFonts w:eastAsia="Andale Sans UI"/>
                <w:bCs/>
                <w:sz w:val="22"/>
                <w:szCs w:val="22"/>
              </w:rPr>
              <w:t>аппарат согласно медицинских назначений для конкретного пациента по индивидуальным параметрам.</w:t>
            </w:r>
          </w:p>
        </w:tc>
      </w:tr>
      <w:tr w:rsidR="00986ED8" w:rsidTr="002D7B8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на всю ногу </w:t>
            </w:r>
          </w:p>
          <w:p w:rsidR="00986ED8" w:rsidRDefault="00986ED8" w:rsidP="002D7B89">
            <w:pPr>
              <w:snapToGrid w:val="0"/>
              <w:rPr>
                <w:sz w:val="22"/>
                <w:szCs w:val="22"/>
              </w:rPr>
            </w:pPr>
          </w:p>
          <w:p w:rsidR="00986ED8" w:rsidRDefault="00986ED8" w:rsidP="002D7B89">
            <w:pPr>
              <w:keepNext/>
              <w:suppressLineNumbers/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на всю ногу, поддерживающий, фиксирующий, разгружающий, гильзы голени, бедра и ложемент стопы   изготовлены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 со смягчающим вкладышем из вспененного упругого материала, гильзы между собой   соединены коленными и голеностопными шарнирами. Коленный шарнир может быть замковый или </w:t>
            </w:r>
            <w:proofErr w:type="spellStart"/>
            <w:r>
              <w:rPr>
                <w:sz w:val="22"/>
                <w:szCs w:val="22"/>
              </w:rPr>
              <w:t>беззамковый</w:t>
            </w:r>
            <w:proofErr w:type="spellEnd"/>
            <w:r>
              <w:rPr>
                <w:sz w:val="22"/>
                <w:szCs w:val="22"/>
              </w:rPr>
              <w:t xml:space="preserve"> (в зависимости от медицинских показаний для конкретного пациента). При изготовлении аппарата   применяются шарниры (модули) и комплектующие с улучшенными свойствами. При необходимости выполняется дополнительное крепление на туловище в виде корсета (</w:t>
            </w:r>
            <w:proofErr w:type="spellStart"/>
            <w:r>
              <w:rPr>
                <w:sz w:val="22"/>
                <w:szCs w:val="22"/>
              </w:rPr>
              <w:t>полукорсета</w:t>
            </w:r>
            <w:proofErr w:type="spellEnd"/>
            <w:r>
              <w:rPr>
                <w:sz w:val="22"/>
                <w:szCs w:val="22"/>
              </w:rPr>
              <w:t xml:space="preserve">) с использованием тазобедренного шарнира. Аппарат выполняется с элементами крепления, обеспечивающими надежную фиксацию изделия на пациенте. 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– по индивидуальному слепку, назначение – постоянное.</w:t>
            </w:r>
          </w:p>
          <w:p w:rsidR="00986ED8" w:rsidRDefault="00986ED8" w:rsidP="002D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работ должен изготовить аппарат согласно медицинских назначений для конкретного пациента по индивидуальным параметрам.</w:t>
            </w:r>
          </w:p>
        </w:tc>
      </w:tr>
    </w:tbl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Наименование изделия в соответствии с Приказом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№ 2347-р».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Аппараты должны соответствовать требованиям: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- ГОСТ Р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терминология»;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 xml:space="preserve">- ГОСТ Р ИСО 22523-2007 «Протезы конечностей и </w:t>
      </w:r>
      <w:proofErr w:type="spellStart"/>
      <w:r>
        <w:rPr>
          <w:iCs/>
          <w:kern w:val="2"/>
          <w:sz w:val="22"/>
          <w:szCs w:val="22"/>
          <w:lang w:eastAsia="en-US"/>
        </w:rPr>
        <w:t>ортезы</w:t>
      </w:r>
      <w:proofErr w:type="spellEnd"/>
      <w:r>
        <w:rPr>
          <w:iCs/>
          <w:kern w:val="2"/>
          <w:sz w:val="22"/>
          <w:szCs w:val="22"/>
          <w:lang w:eastAsia="en-US"/>
        </w:rPr>
        <w:t xml:space="preserve"> наружные. Требования и методы испытаний»;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- ГОСТ Р 70053-2022. Национальный стандарт Российской Федерации. Аппараты ортопедические на всю ногу. Общие технические требования. Классификация;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- ГОСТ Р 70121-2022. Национальный стандарт Российской Федерации. Аппараты ортопедические на голеностопный сустав. Термины и определения;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- ГОСТ Р 59881-2021. Национальный стандарт Российской Федерации. Аппараты ортопедические на коленный сустав. Общие технические требования. Классификация;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- ГОСТ Р 59882-2021. Национальный стандарт Российской Федерации. Аппараты ортопедические на тазобедренный сустав. Общие технические требования. Классификация.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 xml:space="preserve">Выполнение работ по </w:t>
      </w:r>
      <w:proofErr w:type="spellStart"/>
      <w:r>
        <w:rPr>
          <w:iCs/>
          <w:kern w:val="2"/>
          <w:sz w:val="22"/>
          <w:szCs w:val="22"/>
          <w:lang w:eastAsia="en-US"/>
        </w:rPr>
        <w:t>ортезированию</w:t>
      </w:r>
      <w:proofErr w:type="spellEnd"/>
      <w:r>
        <w:rPr>
          <w:iCs/>
          <w:kern w:val="2"/>
          <w:sz w:val="22"/>
          <w:szCs w:val="22"/>
          <w:lang w:eastAsia="en-US"/>
        </w:rPr>
        <w:t xml:space="preserve"> должно соответствовать назначениям медико-социальной экспертизы, а также врача. Выполнение работ по </w:t>
      </w:r>
      <w:proofErr w:type="spellStart"/>
      <w:r>
        <w:rPr>
          <w:iCs/>
          <w:kern w:val="2"/>
          <w:sz w:val="22"/>
          <w:szCs w:val="22"/>
          <w:lang w:eastAsia="en-US"/>
        </w:rPr>
        <w:t>ортезированию</w:t>
      </w:r>
      <w:proofErr w:type="spellEnd"/>
      <w:r>
        <w:rPr>
          <w:iCs/>
          <w:kern w:val="2"/>
          <w:sz w:val="22"/>
          <w:szCs w:val="22"/>
          <w:lang w:eastAsia="en-US"/>
        </w:rPr>
        <w:t xml:space="preserve"> должно быть направлено на изготовление технических устройств, к которым относятся аппараты, для обеспечения механической фиксации, разгрузки, </w:t>
      </w:r>
      <w:proofErr w:type="spellStart"/>
      <w:r>
        <w:rPr>
          <w:iCs/>
          <w:kern w:val="2"/>
          <w:sz w:val="22"/>
          <w:szCs w:val="22"/>
          <w:lang w:eastAsia="en-US"/>
        </w:rPr>
        <w:t>сумочно</w:t>
      </w:r>
      <w:proofErr w:type="spellEnd"/>
      <w:r>
        <w:rPr>
          <w:iCs/>
          <w:kern w:val="2"/>
          <w:sz w:val="22"/>
          <w:szCs w:val="22"/>
          <w:lang w:eastAsia="en-US"/>
        </w:rPr>
        <w:t>-связочного или мышечно-связочного аппарата и других функций организма.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аппарата,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 </w:t>
      </w:r>
    </w:p>
    <w:p w:rsidR="00986ED8" w:rsidRDefault="00986ED8" w:rsidP="00424B9B">
      <w:pPr>
        <w:widowControl w:val="0"/>
        <w:ind w:right="-370" w:firstLine="709"/>
        <w:jc w:val="both"/>
        <w:rPr>
          <w:sz w:val="22"/>
          <w:szCs w:val="22"/>
        </w:rPr>
      </w:pPr>
      <w:r>
        <w:rPr>
          <w:sz w:val="22"/>
          <w:szCs w:val="22"/>
        </w:rPr>
        <w:t>Материалы, применяемые для изготовления туторов не должны содержать ядовитых (токсичных) компонентов, должны быть разрешены к применению Министерством здравоохранения и социального развития Российской Федерации в соответствии с требованиями:</w:t>
      </w:r>
    </w:p>
    <w:p w:rsidR="00986ED8" w:rsidRDefault="00986ED8" w:rsidP="00424B9B">
      <w:pPr>
        <w:widowControl w:val="0"/>
        <w:ind w:right="-370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ГОСТ ИСО 10993-1-2021 «Оценка биологического действия медицинских изделий. Часть1. Оценка и исследования в процессе менеджмента риска»,</w:t>
      </w:r>
    </w:p>
    <w:p w:rsidR="00986ED8" w:rsidRDefault="00986ED8" w:rsidP="00424B9B">
      <w:pPr>
        <w:widowControl w:val="0"/>
        <w:ind w:right="-37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sz w:val="22"/>
          <w:szCs w:val="22"/>
        </w:rPr>
        <w:t>цитотоксичность</w:t>
      </w:r>
      <w:proofErr w:type="spellEnd"/>
      <w:r>
        <w:rPr>
          <w:sz w:val="22"/>
          <w:szCs w:val="22"/>
        </w:rPr>
        <w:t xml:space="preserve">: методы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vitro</w:t>
      </w:r>
      <w:proofErr w:type="spellEnd"/>
      <w:r>
        <w:rPr>
          <w:sz w:val="22"/>
          <w:szCs w:val="22"/>
        </w:rPr>
        <w:t>»,</w:t>
      </w:r>
    </w:p>
    <w:p w:rsidR="00986ED8" w:rsidRDefault="00986ED8" w:rsidP="00424B9B">
      <w:pPr>
        <w:widowControl w:val="0"/>
        <w:ind w:right="-370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986ED8" w:rsidRDefault="00986ED8" w:rsidP="00424B9B">
      <w:pPr>
        <w:widowControl w:val="0"/>
        <w:ind w:right="-37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ГОСТ Р 52770-2016 </w:t>
      </w:r>
      <w:r>
        <w:rPr>
          <w:bCs/>
          <w:sz w:val="22"/>
          <w:szCs w:val="22"/>
        </w:rPr>
        <w:t>Национальный стандарт Российской Федерации.</w:t>
      </w:r>
      <w:r>
        <w:rPr>
          <w:sz w:val="22"/>
          <w:szCs w:val="22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986ED8" w:rsidRDefault="00986ED8" w:rsidP="00424B9B">
      <w:pPr>
        <w:widowControl w:val="0"/>
        <w:ind w:right="-37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пользования изделием должен быть не менее сроков пользования, установленных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 до их замены".</w:t>
      </w:r>
    </w:p>
    <w:p w:rsidR="00986ED8" w:rsidRDefault="00986ED8" w:rsidP="00424B9B">
      <w:pPr>
        <w:widowControl w:val="0"/>
        <w:ind w:right="-370" w:firstLine="709"/>
        <w:jc w:val="center"/>
        <w:rPr>
          <w:b/>
          <w:iCs/>
          <w:kern w:val="2"/>
          <w:sz w:val="22"/>
          <w:szCs w:val="22"/>
          <w:lang w:eastAsia="en-US"/>
        </w:rPr>
      </w:pPr>
      <w:r>
        <w:rPr>
          <w:b/>
          <w:iCs/>
          <w:kern w:val="2"/>
          <w:sz w:val="22"/>
          <w:szCs w:val="22"/>
          <w:lang w:eastAsia="en-US"/>
        </w:rP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обслуживанию).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Гарантийный срок должен быть не менее 7 месяцев.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>Гарантийный срок на аппараты устанавливается со дня выдачи готового изделия в эксплуатацию, в течение этого срока предприятие-изготовитель производит замену или ремонт изделия бесплатно.</w:t>
      </w:r>
    </w:p>
    <w:p w:rsidR="00986ED8" w:rsidRDefault="00986ED8" w:rsidP="00424B9B">
      <w:pPr>
        <w:widowControl w:val="0"/>
        <w:ind w:right="-370" w:firstLine="709"/>
        <w:jc w:val="both"/>
        <w:rPr>
          <w:iCs/>
          <w:kern w:val="2"/>
          <w:sz w:val="22"/>
          <w:szCs w:val="22"/>
          <w:lang w:eastAsia="en-US"/>
        </w:rPr>
      </w:pPr>
      <w:r>
        <w:rPr>
          <w:iCs/>
          <w:kern w:val="2"/>
          <w:sz w:val="22"/>
          <w:szCs w:val="22"/>
          <w:lang w:eastAsia="en-US"/>
        </w:rPr>
        <w:t xml:space="preserve">Исполнитель должен осуществлять гарантийный ремонт протезов в период гарантийного срока. </w:t>
      </w:r>
    </w:p>
    <w:p w:rsidR="0040637C" w:rsidRPr="00C94EF9" w:rsidRDefault="00986ED8" w:rsidP="00424B9B">
      <w:pPr>
        <w:ind w:right="-370" w:firstLine="709"/>
        <w:jc w:val="both"/>
        <w:rPr>
          <w:sz w:val="22"/>
          <w:szCs w:val="22"/>
        </w:rPr>
      </w:pPr>
      <w:r>
        <w:rPr>
          <w:iCs/>
          <w:kern w:val="2"/>
          <w:sz w:val="22"/>
          <w:szCs w:val="22"/>
          <w:lang w:eastAsia="en-US"/>
        </w:rPr>
        <w:t>Срок выполнения гарантийного ремонта не должен превышать 15 рабочих дней с момента обращения Получателя.</w:t>
      </w:r>
    </w:p>
    <w:p w:rsidR="00776BCE" w:rsidRPr="00986ED8" w:rsidRDefault="00776BCE" w:rsidP="00424B9B">
      <w:pPr>
        <w:widowControl w:val="0"/>
        <w:ind w:right="-370" w:firstLine="709"/>
        <w:jc w:val="both"/>
        <w:rPr>
          <w:iCs/>
          <w:sz w:val="22"/>
          <w:szCs w:val="22"/>
        </w:rPr>
      </w:pPr>
      <w:r w:rsidRPr="00986ED8">
        <w:rPr>
          <w:iCs/>
          <w:sz w:val="22"/>
          <w:szCs w:val="22"/>
        </w:rPr>
        <w:t xml:space="preserve">Дата исполнения (прекращения) гарантийных обязательств, предусмотренных контрактом – 29 </w:t>
      </w:r>
      <w:r w:rsidR="00986ED8">
        <w:rPr>
          <w:iCs/>
          <w:sz w:val="22"/>
          <w:szCs w:val="22"/>
        </w:rPr>
        <w:t>апреля</w:t>
      </w:r>
      <w:r w:rsidR="00246303" w:rsidRPr="00986ED8">
        <w:rPr>
          <w:iCs/>
          <w:sz w:val="22"/>
          <w:szCs w:val="22"/>
        </w:rPr>
        <w:t xml:space="preserve"> 2024</w:t>
      </w:r>
      <w:r w:rsidRPr="00986ED8">
        <w:rPr>
          <w:iCs/>
          <w:sz w:val="22"/>
          <w:szCs w:val="22"/>
        </w:rPr>
        <w:t xml:space="preserve"> г.</w:t>
      </w:r>
    </w:p>
    <w:p w:rsidR="007E68D1" w:rsidRDefault="007E68D1" w:rsidP="00DA6CEA"/>
    <w:sectPr w:rsidR="007E68D1" w:rsidSect="00C02F08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F"/>
    <w:rsid w:val="000215AB"/>
    <w:rsid w:val="0003747E"/>
    <w:rsid w:val="00046BBB"/>
    <w:rsid w:val="000477B8"/>
    <w:rsid w:val="000537EE"/>
    <w:rsid w:val="00061527"/>
    <w:rsid w:val="000644BE"/>
    <w:rsid w:val="00070734"/>
    <w:rsid w:val="000A315C"/>
    <w:rsid w:val="000A7881"/>
    <w:rsid w:val="000B0CC2"/>
    <w:rsid w:val="000C6D9E"/>
    <w:rsid w:val="00114241"/>
    <w:rsid w:val="00137DB8"/>
    <w:rsid w:val="001474FA"/>
    <w:rsid w:val="00173B3F"/>
    <w:rsid w:val="00176CFB"/>
    <w:rsid w:val="00181B44"/>
    <w:rsid w:val="00190E2B"/>
    <w:rsid w:val="001A22C8"/>
    <w:rsid w:val="001A238A"/>
    <w:rsid w:val="001D4E93"/>
    <w:rsid w:val="001E410D"/>
    <w:rsid w:val="001E7AC1"/>
    <w:rsid w:val="001E7B19"/>
    <w:rsid w:val="00207713"/>
    <w:rsid w:val="002374A6"/>
    <w:rsid w:val="00246303"/>
    <w:rsid w:val="00260637"/>
    <w:rsid w:val="00262C09"/>
    <w:rsid w:val="00263F90"/>
    <w:rsid w:val="002647F8"/>
    <w:rsid w:val="002714EC"/>
    <w:rsid w:val="002841A4"/>
    <w:rsid w:val="002952B7"/>
    <w:rsid w:val="002B62D1"/>
    <w:rsid w:val="002C6D49"/>
    <w:rsid w:val="002E2C83"/>
    <w:rsid w:val="002E5E4D"/>
    <w:rsid w:val="002F6451"/>
    <w:rsid w:val="00304A6D"/>
    <w:rsid w:val="003356D5"/>
    <w:rsid w:val="0035757E"/>
    <w:rsid w:val="003729E2"/>
    <w:rsid w:val="003C06AA"/>
    <w:rsid w:val="003C1D38"/>
    <w:rsid w:val="003F288F"/>
    <w:rsid w:val="0040637C"/>
    <w:rsid w:val="00424B9B"/>
    <w:rsid w:val="00466C5C"/>
    <w:rsid w:val="00467219"/>
    <w:rsid w:val="00467819"/>
    <w:rsid w:val="00492648"/>
    <w:rsid w:val="004931E9"/>
    <w:rsid w:val="004A0FFC"/>
    <w:rsid w:val="004A3C15"/>
    <w:rsid w:val="004D29F1"/>
    <w:rsid w:val="004E67AA"/>
    <w:rsid w:val="004F1109"/>
    <w:rsid w:val="00500739"/>
    <w:rsid w:val="00502BD0"/>
    <w:rsid w:val="0052185C"/>
    <w:rsid w:val="005259B3"/>
    <w:rsid w:val="00534AB9"/>
    <w:rsid w:val="00541B1E"/>
    <w:rsid w:val="0055116E"/>
    <w:rsid w:val="0057562B"/>
    <w:rsid w:val="005B370D"/>
    <w:rsid w:val="005B40C2"/>
    <w:rsid w:val="005D23D6"/>
    <w:rsid w:val="005E3500"/>
    <w:rsid w:val="006469BA"/>
    <w:rsid w:val="00647D2F"/>
    <w:rsid w:val="0066604A"/>
    <w:rsid w:val="006A3CB9"/>
    <w:rsid w:val="006F3E35"/>
    <w:rsid w:val="00722546"/>
    <w:rsid w:val="00746ABB"/>
    <w:rsid w:val="007524E0"/>
    <w:rsid w:val="007539C1"/>
    <w:rsid w:val="00770337"/>
    <w:rsid w:val="00776BCE"/>
    <w:rsid w:val="007B0271"/>
    <w:rsid w:val="007B601C"/>
    <w:rsid w:val="007C71E7"/>
    <w:rsid w:val="007D529F"/>
    <w:rsid w:val="007E68D1"/>
    <w:rsid w:val="008337F7"/>
    <w:rsid w:val="00836797"/>
    <w:rsid w:val="008726D7"/>
    <w:rsid w:val="0087280D"/>
    <w:rsid w:val="00874810"/>
    <w:rsid w:val="008939B5"/>
    <w:rsid w:val="008A6153"/>
    <w:rsid w:val="008B4931"/>
    <w:rsid w:val="008C2B9C"/>
    <w:rsid w:val="008E724D"/>
    <w:rsid w:val="008F128C"/>
    <w:rsid w:val="00915D7A"/>
    <w:rsid w:val="00916D5A"/>
    <w:rsid w:val="00916DE4"/>
    <w:rsid w:val="00946F03"/>
    <w:rsid w:val="00960B16"/>
    <w:rsid w:val="00961DDD"/>
    <w:rsid w:val="00983F24"/>
    <w:rsid w:val="00986ED8"/>
    <w:rsid w:val="0099599D"/>
    <w:rsid w:val="009A2488"/>
    <w:rsid w:val="009C5925"/>
    <w:rsid w:val="00A05121"/>
    <w:rsid w:val="00A44D2B"/>
    <w:rsid w:val="00AA1CC9"/>
    <w:rsid w:val="00AC0E59"/>
    <w:rsid w:val="00AD224C"/>
    <w:rsid w:val="00AE1991"/>
    <w:rsid w:val="00AE53E1"/>
    <w:rsid w:val="00B00DAB"/>
    <w:rsid w:val="00B12C14"/>
    <w:rsid w:val="00B35097"/>
    <w:rsid w:val="00B35F87"/>
    <w:rsid w:val="00B37227"/>
    <w:rsid w:val="00B408AE"/>
    <w:rsid w:val="00B47AD3"/>
    <w:rsid w:val="00B510C2"/>
    <w:rsid w:val="00B550CD"/>
    <w:rsid w:val="00B76BAE"/>
    <w:rsid w:val="00B96942"/>
    <w:rsid w:val="00BA6D37"/>
    <w:rsid w:val="00BB1A64"/>
    <w:rsid w:val="00C02F08"/>
    <w:rsid w:val="00C12577"/>
    <w:rsid w:val="00C252E6"/>
    <w:rsid w:val="00C44C53"/>
    <w:rsid w:val="00C55879"/>
    <w:rsid w:val="00C80617"/>
    <w:rsid w:val="00C82073"/>
    <w:rsid w:val="00C82C8C"/>
    <w:rsid w:val="00C94EF9"/>
    <w:rsid w:val="00C95D53"/>
    <w:rsid w:val="00CA2902"/>
    <w:rsid w:val="00CA2B7C"/>
    <w:rsid w:val="00CB02E5"/>
    <w:rsid w:val="00CB08CB"/>
    <w:rsid w:val="00CC7ED5"/>
    <w:rsid w:val="00CD1F87"/>
    <w:rsid w:val="00D329C0"/>
    <w:rsid w:val="00D33F9A"/>
    <w:rsid w:val="00D34383"/>
    <w:rsid w:val="00D55A19"/>
    <w:rsid w:val="00D605E1"/>
    <w:rsid w:val="00D8189D"/>
    <w:rsid w:val="00D87088"/>
    <w:rsid w:val="00DA0DED"/>
    <w:rsid w:val="00DA6CEA"/>
    <w:rsid w:val="00DB2AE1"/>
    <w:rsid w:val="00DE1F9B"/>
    <w:rsid w:val="00DE5C9F"/>
    <w:rsid w:val="00E22914"/>
    <w:rsid w:val="00E519B3"/>
    <w:rsid w:val="00E619C5"/>
    <w:rsid w:val="00E85BA1"/>
    <w:rsid w:val="00E921D4"/>
    <w:rsid w:val="00EF2713"/>
    <w:rsid w:val="00F26257"/>
    <w:rsid w:val="00F27349"/>
    <w:rsid w:val="00F27928"/>
    <w:rsid w:val="00F52655"/>
    <w:rsid w:val="00F52EA9"/>
    <w:rsid w:val="00F76FD1"/>
    <w:rsid w:val="00F93F07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80B32-CAF0-4072-A0D8-0BDAE5C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67819"/>
    <w:pPr>
      <w:suppressAutoHyphens/>
      <w:spacing w:before="100" w:after="100"/>
    </w:pPr>
    <w:rPr>
      <w:kern w:val="2"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B00DAB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B00DA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01zagolovok">
    <w:name w:val="01_zagolovok"/>
    <w:basedOn w:val="a"/>
    <w:rsid w:val="00173B3F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styleId="a5">
    <w:name w:val="No Spacing"/>
    <w:uiPriority w:val="1"/>
    <w:qFormat/>
    <w:rsid w:val="008748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 Знак Знак Знак Знак Знак Знак"/>
    <w:basedOn w:val="a"/>
    <w:rsid w:val="00986E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aliases w:val="Обычный (Web)"/>
    <w:basedOn w:val="a"/>
    <w:rsid w:val="00986ED8"/>
    <w:pPr>
      <w:spacing w:before="100" w:after="119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0E54-8643-407A-A317-DCBB870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О.А.</dc:creator>
  <cp:lastModifiedBy>Будина Диана Михайловна</cp:lastModifiedBy>
  <cp:revision>30</cp:revision>
  <cp:lastPrinted>2019-01-28T09:15:00Z</cp:lastPrinted>
  <dcterms:created xsi:type="dcterms:W3CDTF">2022-04-12T09:26:00Z</dcterms:created>
  <dcterms:modified xsi:type="dcterms:W3CDTF">2023-03-13T12:30:00Z</dcterms:modified>
</cp:coreProperties>
</file>