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A8" w:rsidRDefault="00ED49A8" w:rsidP="00ED49A8">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Приложение №2</w:t>
      </w:r>
    </w:p>
    <w:p w:rsidR="00ED49A8" w:rsidRDefault="00ED49A8" w:rsidP="00ED49A8">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 xml:space="preserve">к извещению о проведении </w:t>
      </w:r>
    </w:p>
    <w:p w:rsidR="00ED49A8" w:rsidRDefault="00ED49A8" w:rsidP="00ED49A8">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открытого конкурса в электронной форме</w:t>
      </w:r>
    </w:p>
    <w:p w:rsidR="00ED49A8" w:rsidRDefault="00ED49A8"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6C6AB6">
        <w:rPr>
          <w:rFonts w:eastAsia="Times New Roman CYR"/>
          <w:b/>
          <w:bCs/>
          <w:color w:val="000000"/>
          <w:spacing w:val="-6"/>
        </w:rPr>
        <w:t>а</w:t>
      </w:r>
      <w:r w:rsidR="00DB2D5A">
        <w:rPr>
          <w:rFonts w:eastAsia="Times New Roman CYR"/>
          <w:b/>
          <w:bCs/>
          <w:color w:val="000000"/>
          <w:spacing w:val="-6"/>
        </w:rPr>
        <w:t xml:space="preserve"> </w:t>
      </w:r>
      <w:r w:rsidR="002A4D07">
        <w:rPr>
          <w:rFonts w:eastAsia="Times New Roman CYR"/>
          <w:b/>
          <w:bCs/>
          <w:color w:val="000000"/>
          <w:spacing w:val="-6"/>
        </w:rPr>
        <w:t>бедра</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0047EE" w:rsidRPr="00444084" w:rsidTr="003F40A0">
        <w:tc>
          <w:tcPr>
            <w:tcW w:w="516" w:type="dxa"/>
            <w:vMerge w:val="restart"/>
          </w:tcPr>
          <w:p w:rsidR="000047EE" w:rsidRPr="004211E7" w:rsidRDefault="006C6AB6" w:rsidP="000047EE">
            <w:pPr>
              <w:rPr>
                <w:rFonts w:ascii="Times New Roman" w:hAnsi="Times New Roman" w:cs="Times New Roman"/>
                <w:b/>
              </w:rPr>
            </w:pPr>
            <w:r>
              <w:rPr>
                <w:rFonts w:ascii="Times New Roman" w:hAnsi="Times New Roman" w:cs="Times New Roman"/>
                <w:b/>
              </w:rPr>
              <w:t>1</w:t>
            </w:r>
          </w:p>
        </w:tc>
        <w:tc>
          <w:tcPr>
            <w:tcW w:w="1464" w:type="dxa"/>
            <w:vMerge w:val="restart"/>
          </w:tcPr>
          <w:p w:rsidR="000047EE" w:rsidRPr="004F1091" w:rsidRDefault="003866E6" w:rsidP="000047EE">
            <w:pPr>
              <w:jc w:val="center"/>
              <w:rPr>
                <w:rFonts w:ascii="Times New Roman" w:hAnsi="Times New Roman" w:cs="Times New Roman"/>
                <w:sz w:val="26"/>
                <w:szCs w:val="26"/>
              </w:rPr>
            </w:pPr>
            <w:r w:rsidRPr="003866E6">
              <w:rPr>
                <w:rFonts w:ascii="Times New Roman" w:hAnsi="Times New Roman" w:cs="Times New Roman"/>
                <w:sz w:val="26"/>
                <w:szCs w:val="26"/>
              </w:rPr>
              <w:t>8-07-10 Протез бедра модульный, в том числе при врожденном недоразвитии</w:t>
            </w:r>
          </w:p>
        </w:tc>
        <w:tc>
          <w:tcPr>
            <w:tcW w:w="7185" w:type="dxa"/>
            <w:gridSpan w:val="2"/>
          </w:tcPr>
          <w:p w:rsidR="000047EE" w:rsidRPr="00DB2D5A" w:rsidRDefault="000047EE" w:rsidP="000047EE">
            <w:pPr>
              <w:rPr>
                <w:rFonts w:ascii="Times New Roman" w:hAnsi="Times New Roman" w:cs="Times New Roman"/>
                <w:color w:val="000000" w:themeColor="text1"/>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Pr>
          <w:p w:rsidR="000047EE" w:rsidRDefault="000047EE" w:rsidP="000047EE">
            <w:pPr>
              <w:jc w:val="center"/>
              <w:rPr>
                <w:rFonts w:ascii="Times New Roman" w:hAnsi="Times New Roman" w:cs="Times New Roman"/>
                <w:b/>
              </w:rPr>
            </w:pPr>
            <w:r>
              <w:rPr>
                <w:rFonts w:ascii="Times New Roman" w:hAnsi="Times New Roman" w:cs="Times New Roman"/>
                <w:b/>
              </w:rPr>
              <w:t>1</w:t>
            </w: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DB2D5A" w:rsidRDefault="003866E6" w:rsidP="003866E6">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3866E6" w:rsidRPr="00DB2D5A" w:rsidRDefault="002C4412"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нижняя</w:t>
            </w:r>
            <w:r w:rsidR="003866E6" w:rsidRPr="002A4D07">
              <w:rPr>
                <w:rFonts w:ascii="Times New Roman" w:hAnsi="Times New Roman" w:cs="Times New Roman"/>
                <w:color w:val="000000" w:themeColor="text1"/>
                <w:sz w:val="26"/>
                <w:szCs w:val="26"/>
              </w:rPr>
              <w:t xml:space="preserve"> треть бедра</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3866E6" w:rsidRPr="00627829" w:rsidRDefault="0030397B"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58</w:t>
            </w:r>
            <w:r w:rsidR="003866E6" w:rsidRPr="004D20F7">
              <w:rPr>
                <w:rFonts w:ascii="Times New Roman" w:hAnsi="Times New Roman" w:cs="Times New Roman"/>
                <w:color w:val="000000" w:themeColor="text1"/>
                <w:sz w:val="26"/>
                <w:szCs w:val="26"/>
              </w:rPr>
              <w:t xml:space="preserve"> </w:t>
            </w:r>
            <w:r w:rsidR="003866E6" w:rsidRPr="00627829">
              <w:rPr>
                <w:rFonts w:ascii="Times New Roman" w:hAnsi="Times New Roman" w:cs="Times New Roman"/>
                <w:color w:val="000000" w:themeColor="text1"/>
                <w:sz w:val="26"/>
                <w:szCs w:val="26"/>
              </w:rPr>
              <w:t>кг</w:t>
            </w:r>
          </w:p>
        </w:tc>
        <w:tc>
          <w:tcPr>
            <w:tcW w:w="682" w:type="dxa"/>
            <w:vMerge/>
          </w:tcPr>
          <w:p w:rsidR="003866E6" w:rsidRDefault="003866E6" w:rsidP="003866E6">
            <w:pPr>
              <w:rPr>
                <w:rFonts w:ascii="Times New Roman" w:hAnsi="Times New Roman" w:cs="Times New Roman"/>
                <w:b/>
              </w:rPr>
            </w:pPr>
          </w:p>
        </w:tc>
      </w:tr>
      <w:tr w:rsidR="006C6AB6" w:rsidRPr="00444084" w:rsidTr="00DB2D5A">
        <w:tc>
          <w:tcPr>
            <w:tcW w:w="516" w:type="dxa"/>
            <w:vMerge/>
          </w:tcPr>
          <w:p w:rsidR="006C6AB6" w:rsidRPr="004211E7" w:rsidRDefault="006C6AB6" w:rsidP="003866E6">
            <w:pPr>
              <w:rPr>
                <w:rFonts w:ascii="Times New Roman" w:hAnsi="Times New Roman" w:cs="Times New Roman"/>
                <w:b/>
              </w:rPr>
            </w:pPr>
          </w:p>
        </w:tc>
        <w:tc>
          <w:tcPr>
            <w:tcW w:w="1464" w:type="dxa"/>
            <w:vMerge/>
          </w:tcPr>
          <w:p w:rsidR="006C6AB6" w:rsidRPr="004F1091" w:rsidRDefault="006C6AB6" w:rsidP="003866E6">
            <w:pPr>
              <w:jc w:val="center"/>
              <w:rPr>
                <w:rFonts w:ascii="Times New Roman" w:hAnsi="Times New Roman" w:cs="Times New Roman"/>
                <w:sz w:val="26"/>
                <w:szCs w:val="26"/>
              </w:rPr>
            </w:pPr>
          </w:p>
        </w:tc>
        <w:tc>
          <w:tcPr>
            <w:tcW w:w="3685" w:type="dxa"/>
          </w:tcPr>
          <w:p w:rsidR="006C6AB6" w:rsidRPr="00627829" w:rsidRDefault="006C6AB6" w:rsidP="006C6AB6">
            <w:pPr>
              <w:tabs>
                <w:tab w:val="left" w:pos="2235"/>
              </w:tabs>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протезирование</w:t>
            </w:r>
          </w:p>
        </w:tc>
        <w:tc>
          <w:tcPr>
            <w:tcW w:w="3500" w:type="dxa"/>
          </w:tcPr>
          <w:p w:rsidR="006C6AB6" w:rsidRDefault="006C6AB6" w:rsidP="003866E6">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повторное</w:t>
            </w:r>
          </w:p>
        </w:tc>
        <w:tc>
          <w:tcPr>
            <w:tcW w:w="682" w:type="dxa"/>
            <w:vMerge/>
          </w:tcPr>
          <w:p w:rsidR="006C6AB6" w:rsidRDefault="006C6AB6" w:rsidP="003866E6">
            <w:pPr>
              <w:rPr>
                <w:rFonts w:ascii="Times New Roman" w:hAnsi="Times New Roman" w:cs="Times New Roman"/>
                <w:b/>
              </w:rPr>
            </w:pPr>
          </w:p>
        </w:tc>
      </w:tr>
      <w:tr w:rsidR="00351663" w:rsidRPr="00444084" w:rsidTr="00DA4C91">
        <w:tc>
          <w:tcPr>
            <w:tcW w:w="516" w:type="dxa"/>
            <w:vMerge/>
          </w:tcPr>
          <w:p w:rsidR="00351663" w:rsidRPr="004211E7" w:rsidRDefault="00351663" w:rsidP="000047EE">
            <w:pPr>
              <w:rPr>
                <w:rFonts w:ascii="Times New Roman" w:hAnsi="Times New Roman" w:cs="Times New Roman"/>
                <w:b/>
              </w:rPr>
            </w:pPr>
          </w:p>
        </w:tc>
        <w:tc>
          <w:tcPr>
            <w:tcW w:w="1464" w:type="dxa"/>
            <w:vMerge/>
          </w:tcPr>
          <w:p w:rsidR="00351663" w:rsidRPr="004F1091" w:rsidRDefault="00351663" w:rsidP="000047EE">
            <w:pPr>
              <w:jc w:val="center"/>
              <w:rPr>
                <w:rFonts w:ascii="Times New Roman" w:hAnsi="Times New Roman" w:cs="Times New Roman"/>
                <w:sz w:val="26"/>
                <w:szCs w:val="26"/>
              </w:rPr>
            </w:pPr>
          </w:p>
        </w:tc>
        <w:tc>
          <w:tcPr>
            <w:tcW w:w="7185" w:type="dxa"/>
            <w:gridSpan w:val="2"/>
          </w:tcPr>
          <w:p w:rsidR="00351663" w:rsidRPr="004D20F7" w:rsidRDefault="00351663" w:rsidP="000047EE">
            <w:pPr>
              <w:rPr>
                <w:rFonts w:ascii="Times New Roman" w:hAnsi="Times New Roman" w:cs="Times New Roman"/>
                <w:color w:val="000000" w:themeColor="text1"/>
                <w:sz w:val="26"/>
                <w:szCs w:val="26"/>
              </w:rPr>
            </w:pPr>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351663" w:rsidRDefault="00351663"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Приемная гильза</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приемной гильзы</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Жесткая</w:t>
            </w:r>
          </w:p>
        </w:tc>
        <w:tc>
          <w:tcPr>
            <w:tcW w:w="682" w:type="dxa"/>
            <w:vMerge/>
          </w:tcPr>
          <w:p w:rsidR="000047EE" w:rsidRDefault="000047EE" w:rsidP="000047EE">
            <w:pPr>
              <w:rPr>
                <w:rFonts w:ascii="Times New Roman" w:hAnsi="Times New Roman" w:cs="Times New Roman"/>
                <w:b/>
              </w:rPr>
            </w:pPr>
          </w:p>
        </w:tc>
      </w:tr>
      <w:tr w:rsidR="002C4412" w:rsidRPr="00444084" w:rsidTr="00DB2D5A">
        <w:tc>
          <w:tcPr>
            <w:tcW w:w="516" w:type="dxa"/>
            <w:vMerge/>
          </w:tcPr>
          <w:p w:rsidR="002C4412" w:rsidRPr="004211E7" w:rsidRDefault="002C4412" w:rsidP="000047EE">
            <w:pPr>
              <w:rPr>
                <w:rFonts w:ascii="Times New Roman" w:hAnsi="Times New Roman" w:cs="Times New Roman"/>
                <w:b/>
              </w:rPr>
            </w:pPr>
          </w:p>
        </w:tc>
        <w:tc>
          <w:tcPr>
            <w:tcW w:w="1464" w:type="dxa"/>
            <w:vMerge/>
          </w:tcPr>
          <w:p w:rsidR="002C4412" w:rsidRPr="004F1091" w:rsidRDefault="002C4412" w:rsidP="000047EE">
            <w:pPr>
              <w:jc w:val="center"/>
              <w:rPr>
                <w:rFonts w:ascii="Times New Roman" w:hAnsi="Times New Roman" w:cs="Times New Roman"/>
                <w:sz w:val="26"/>
                <w:szCs w:val="26"/>
              </w:rPr>
            </w:pPr>
          </w:p>
        </w:tc>
        <w:tc>
          <w:tcPr>
            <w:tcW w:w="3685" w:type="dxa"/>
          </w:tcPr>
          <w:p w:rsidR="002C4412" w:rsidRPr="003866E6" w:rsidRDefault="002C4412" w:rsidP="001D042D">
            <w:pPr>
              <w:rPr>
                <w:rFonts w:ascii="Times New Roman" w:hAnsi="Times New Roman" w:cs="Times New Roman"/>
                <w:color w:val="000000" w:themeColor="text1"/>
                <w:sz w:val="26"/>
                <w:szCs w:val="26"/>
              </w:rPr>
            </w:pPr>
            <w:r w:rsidRPr="002C4412">
              <w:rPr>
                <w:rFonts w:ascii="Times New Roman" w:hAnsi="Times New Roman" w:cs="Times New Roman"/>
                <w:color w:val="000000" w:themeColor="text1"/>
                <w:sz w:val="26"/>
                <w:szCs w:val="26"/>
              </w:rPr>
              <w:t>вкладные элементы</w:t>
            </w:r>
          </w:p>
        </w:tc>
        <w:tc>
          <w:tcPr>
            <w:tcW w:w="3500" w:type="dxa"/>
          </w:tcPr>
          <w:p w:rsidR="002C4412" w:rsidRPr="003866E6" w:rsidRDefault="002C4412" w:rsidP="000047EE">
            <w:pPr>
              <w:rPr>
                <w:rFonts w:ascii="Times New Roman" w:hAnsi="Times New Roman" w:cs="Times New Roman"/>
                <w:color w:val="000000" w:themeColor="text1"/>
                <w:sz w:val="26"/>
                <w:szCs w:val="26"/>
              </w:rPr>
            </w:pPr>
            <w:r w:rsidRPr="002C4412">
              <w:rPr>
                <w:rFonts w:ascii="Times New Roman" w:hAnsi="Times New Roman" w:cs="Times New Roman"/>
                <w:color w:val="000000" w:themeColor="text1"/>
                <w:sz w:val="26"/>
                <w:szCs w:val="26"/>
              </w:rPr>
              <w:t>вкладных элементов нет</w:t>
            </w:r>
          </w:p>
        </w:tc>
        <w:tc>
          <w:tcPr>
            <w:tcW w:w="682" w:type="dxa"/>
            <w:vMerge/>
          </w:tcPr>
          <w:p w:rsidR="002C4412" w:rsidRDefault="002C4412"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Модуль стопы</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стопы</w:t>
            </w:r>
          </w:p>
        </w:tc>
        <w:tc>
          <w:tcPr>
            <w:tcW w:w="3500" w:type="dxa"/>
          </w:tcPr>
          <w:p w:rsidR="000047EE" w:rsidRPr="00DB2D5A" w:rsidRDefault="0030397B" w:rsidP="000047EE">
            <w:pPr>
              <w:rPr>
                <w:rFonts w:ascii="Times New Roman" w:hAnsi="Times New Roman" w:cs="Times New Roman"/>
                <w:color w:val="000000" w:themeColor="text1"/>
                <w:sz w:val="26"/>
                <w:szCs w:val="26"/>
              </w:rPr>
            </w:pPr>
            <w:r w:rsidRPr="0030397B">
              <w:rPr>
                <w:rFonts w:ascii="Times New Roman" w:hAnsi="Times New Roman" w:cs="Times New Roman"/>
                <w:color w:val="000000" w:themeColor="text1"/>
                <w:sz w:val="26"/>
                <w:szCs w:val="26"/>
              </w:rPr>
              <w:t>стопа шарнирная с регулировочно-соединительным устройством</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DB136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Коленный модуль</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6C6AB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коленного модуля</w:t>
            </w:r>
          </w:p>
        </w:tc>
        <w:tc>
          <w:tcPr>
            <w:tcW w:w="3500" w:type="dxa"/>
          </w:tcPr>
          <w:p w:rsidR="000047EE" w:rsidRPr="00DB2D5A" w:rsidRDefault="0030397B" w:rsidP="000047EE">
            <w:pPr>
              <w:rPr>
                <w:rFonts w:ascii="Times New Roman" w:hAnsi="Times New Roman" w:cs="Times New Roman"/>
                <w:color w:val="000000" w:themeColor="text1"/>
                <w:sz w:val="26"/>
                <w:szCs w:val="26"/>
              </w:rPr>
            </w:pPr>
            <w:r w:rsidRPr="0030397B">
              <w:rPr>
                <w:rFonts w:ascii="Times New Roman" w:hAnsi="Times New Roman" w:cs="Times New Roman"/>
                <w:color w:val="000000" w:themeColor="text1"/>
                <w:sz w:val="26"/>
                <w:szCs w:val="26"/>
              </w:rPr>
              <w:t>коленный модуль с гидравлическим управлением для 2-4 уровня двигательной активности</w:t>
            </w:r>
          </w:p>
        </w:tc>
        <w:tc>
          <w:tcPr>
            <w:tcW w:w="682" w:type="dxa"/>
            <w:vMerge/>
          </w:tcPr>
          <w:p w:rsidR="000047EE" w:rsidRDefault="000047EE"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 дополнительного функционального устройства</w:t>
            </w:r>
          </w:p>
        </w:tc>
        <w:tc>
          <w:tcPr>
            <w:tcW w:w="3500" w:type="dxa"/>
          </w:tcPr>
          <w:p w:rsidR="003866E6" w:rsidRPr="003866E6" w:rsidRDefault="0030397B" w:rsidP="000047EE">
            <w:pPr>
              <w:rPr>
                <w:rFonts w:ascii="Times New Roman" w:hAnsi="Times New Roman" w:cs="Times New Roman"/>
                <w:color w:val="000000" w:themeColor="text1"/>
                <w:sz w:val="26"/>
                <w:szCs w:val="26"/>
              </w:rPr>
            </w:pPr>
            <w:r w:rsidRPr="0030397B">
              <w:rPr>
                <w:rFonts w:ascii="Times New Roman" w:hAnsi="Times New Roman" w:cs="Times New Roman"/>
                <w:color w:val="000000" w:themeColor="text1"/>
                <w:sz w:val="26"/>
                <w:szCs w:val="26"/>
              </w:rPr>
              <w:t>гидравлическая щиколотка с регулировкой флексий</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3866E6" w:rsidRPr="003866E6" w:rsidRDefault="003866E6" w:rsidP="000047E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элемента крепления</w:t>
            </w:r>
          </w:p>
        </w:tc>
        <w:tc>
          <w:tcPr>
            <w:tcW w:w="3500" w:type="dxa"/>
          </w:tcPr>
          <w:p w:rsidR="003866E6" w:rsidRDefault="0030397B" w:rsidP="000047EE">
            <w:pPr>
              <w:rPr>
                <w:rFonts w:ascii="Times New Roman" w:hAnsi="Times New Roman" w:cs="Times New Roman"/>
                <w:color w:val="000000" w:themeColor="text1"/>
                <w:sz w:val="26"/>
                <w:szCs w:val="26"/>
              </w:rPr>
            </w:pPr>
            <w:r w:rsidRPr="0030397B">
              <w:rPr>
                <w:rFonts w:ascii="Times New Roman" w:hAnsi="Times New Roman" w:cs="Times New Roman"/>
                <w:color w:val="000000" w:themeColor="text1"/>
                <w:sz w:val="26"/>
                <w:szCs w:val="26"/>
              </w:rPr>
              <w:t>вакуумное крепление</w:t>
            </w:r>
          </w:p>
        </w:tc>
        <w:tc>
          <w:tcPr>
            <w:tcW w:w="682" w:type="dxa"/>
            <w:vMerge/>
          </w:tcPr>
          <w:p w:rsidR="003866E6" w:rsidRDefault="003866E6" w:rsidP="000047EE">
            <w:pPr>
              <w:rPr>
                <w:rFonts w:ascii="Times New Roman" w:hAnsi="Times New Roman" w:cs="Times New Roman"/>
                <w:b/>
              </w:rPr>
            </w:pPr>
          </w:p>
        </w:tc>
      </w:tr>
      <w:tr w:rsidR="0030397B" w:rsidRPr="00444084" w:rsidTr="00C34430">
        <w:trPr>
          <w:trHeight w:val="897"/>
        </w:trPr>
        <w:tc>
          <w:tcPr>
            <w:tcW w:w="516" w:type="dxa"/>
            <w:vMerge/>
          </w:tcPr>
          <w:p w:rsidR="0030397B" w:rsidRPr="004211E7" w:rsidRDefault="0030397B" w:rsidP="000047EE">
            <w:pPr>
              <w:rPr>
                <w:rFonts w:ascii="Times New Roman" w:hAnsi="Times New Roman" w:cs="Times New Roman"/>
                <w:b/>
              </w:rPr>
            </w:pPr>
          </w:p>
        </w:tc>
        <w:tc>
          <w:tcPr>
            <w:tcW w:w="1464" w:type="dxa"/>
            <w:vMerge/>
          </w:tcPr>
          <w:p w:rsidR="0030397B" w:rsidRPr="004F1091" w:rsidRDefault="0030397B" w:rsidP="000047EE">
            <w:pPr>
              <w:jc w:val="center"/>
              <w:rPr>
                <w:rFonts w:ascii="Times New Roman" w:hAnsi="Times New Roman" w:cs="Times New Roman"/>
                <w:sz w:val="26"/>
                <w:szCs w:val="26"/>
              </w:rPr>
            </w:pPr>
          </w:p>
        </w:tc>
        <w:tc>
          <w:tcPr>
            <w:tcW w:w="3685" w:type="dxa"/>
          </w:tcPr>
          <w:p w:rsidR="0030397B" w:rsidRPr="003866E6" w:rsidRDefault="0030397B"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отделочных косметических элементов</w:t>
            </w:r>
          </w:p>
        </w:tc>
        <w:tc>
          <w:tcPr>
            <w:tcW w:w="3500" w:type="dxa"/>
          </w:tcPr>
          <w:p w:rsidR="0030397B" w:rsidRDefault="0030397B"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Мягкая облицовка</w:t>
            </w:r>
          </w:p>
        </w:tc>
        <w:tc>
          <w:tcPr>
            <w:tcW w:w="682" w:type="dxa"/>
            <w:vMerge/>
          </w:tcPr>
          <w:p w:rsidR="0030397B" w:rsidRDefault="0030397B" w:rsidP="000047EE">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протезно-ортопедическ</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издели</w:t>
      </w:r>
      <w:r w:rsidR="006C6AB6">
        <w:rPr>
          <w:rFonts w:ascii="Times New Roman" w:eastAsia="Lucida Sans Unicode" w:hAnsi="Times New Roman" w:cs="Times New Roman"/>
          <w:kern w:val="1"/>
          <w:sz w:val="24"/>
          <w:szCs w:val="24"/>
        </w:rPr>
        <w:t>е</w:t>
      </w:r>
      <w:r w:rsidRPr="00627829">
        <w:rPr>
          <w:rFonts w:ascii="Times New Roman" w:eastAsia="Lucida Sans Unicode" w:hAnsi="Times New Roman" w:cs="Times New Roman"/>
          <w:kern w:val="1"/>
          <w:sz w:val="24"/>
          <w:szCs w:val="24"/>
        </w:rPr>
        <w:t xml:space="preserve">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lastRenderedPageBreak/>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30397B">
        <w:rPr>
          <w:rFonts w:ascii="Times New Roman" w:eastAsia="Lucida Sans Unicode" w:hAnsi="Times New Roman" w:cs="Times New Roman"/>
          <w:kern w:val="1"/>
          <w:sz w:val="24"/>
          <w:szCs w:val="24"/>
        </w:rPr>
        <w:t>7</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6C6AB6">
        <w:rPr>
          <w:rFonts w:ascii="Times New Roman" w:eastAsia="Lucida Sans Unicode" w:hAnsi="Times New Roman" w:cs="Times New Roman"/>
          <w:b/>
          <w:bCs/>
          <w:kern w:val="1"/>
          <w:sz w:val="24"/>
          <w:szCs w:val="24"/>
        </w:rPr>
        <w:t>1</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75" w:rsidRDefault="00953A75" w:rsidP="00B32BB3">
      <w:pPr>
        <w:spacing w:after="0" w:line="240" w:lineRule="auto"/>
      </w:pPr>
      <w:r>
        <w:separator/>
      </w:r>
    </w:p>
  </w:endnote>
  <w:endnote w:type="continuationSeparator" w:id="0">
    <w:p w:rsidR="00953A75" w:rsidRDefault="00953A75"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75" w:rsidRDefault="00953A75" w:rsidP="00B32BB3">
      <w:pPr>
        <w:spacing w:after="0" w:line="240" w:lineRule="auto"/>
      </w:pPr>
      <w:r>
        <w:separator/>
      </w:r>
    </w:p>
  </w:footnote>
  <w:footnote w:type="continuationSeparator" w:id="0">
    <w:p w:rsidR="00953A75" w:rsidRDefault="00953A75"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а именно:</w:t>
      </w:r>
      <w:bookmarkStart w:id="0" w:name="_GoBack"/>
      <w:bookmarkEnd w:id="0"/>
      <w:r w:rsidR="002A4D07">
        <w:rPr>
          <w:rFonts w:ascii="Times New Roman" w:eastAsia="Calibri" w:hAnsi="Times New Roman" w:cs="Times New Roman"/>
          <w:b/>
          <w:i/>
          <w:kern w:val="0"/>
          <w:sz w:val="16"/>
          <w:szCs w:val="16"/>
          <w:lang w:eastAsia="ar-SA"/>
        </w:rPr>
        <w:t xml:space="preserve"> </w:t>
      </w:r>
      <w:r w:rsidR="0089355E" w:rsidRPr="0089355E">
        <w:rPr>
          <w:rFonts w:ascii="Times New Roman" w:eastAsia="Calibri" w:hAnsi="Times New Roman" w:cs="Times New Roman"/>
          <w:b/>
          <w:i/>
          <w:kern w:val="0"/>
          <w:sz w:val="16"/>
          <w:szCs w:val="16"/>
          <w:lang w:eastAsia="ar-SA"/>
        </w:rPr>
        <w:t xml:space="preserve"> </w:t>
      </w:r>
      <w:r w:rsidR="003866E6" w:rsidRPr="003866E6">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3B17"/>
    <w:rsid w:val="000047EE"/>
    <w:rsid w:val="00025CD7"/>
    <w:rsid w:val="00051FE7"/>
    <w:rsid w:val="000B3B71"/>
    <w:rsid w:val="000C316C"/>
    <w:rsid w:val="000D1A7A"/>
    <w:rsid w:val="000D78E7"/>
    <w:rsid w:val="000E4E48"/>
    <w:rsid w:val="00113919"/>
    <w:rsid w:val="001363DE"/>
    <w:rsid w:val="00197994"/>
    <w:rsid w:val="001C01EB"/>
    <w:rsid w:val="001D042D"/>
    <w:rsid w:val="0021028E"/>
    <w:rsid w:val="00211DBF"/>
    <w:rsid w:val="00295660"/>
    <w:rsid w:val="002A4D07"/>
    <w:rsid w:val="002B2C31"/>
    <w:rsid w:val="002C4412"/>
    <w:rsid w:val="002E4EC1"/>
    <w:rsid w:val="0030397B"/>
    <w:rsid w:val="003137A2"/>
    <w:rsid w:val="00351663"/>
    <w:rsid w:val="003866E6"/>
    <w:rsid w:val="003B3CD5"/>
    <w:rsid w:val="004211E7"/>
    <w:rsid w:val="00444084"/>
    <w:rsid w:val="004800E2"/>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6C6AB6"/>
    <w:rsid w:val="00710A2A"/>
    <w:rsid w:val="00720FB5"/>
    <w:rsid w:val="007231EA"/>
    <w:rsid w:val="00741A6A"/>
    <w:rsid w:val="00761712"/>
    <w:rsid w:val="00767193"/>
    <w:rsid w:val="007C0E53"/>
    <w:rsid w:val="00804B96"/>
    <w:rsid w:val="00823456"/>
    <w:rsid w:val="0088772C"/>
    <w:rsid w:val="0089355E"/>
    <w:rsid w:val="008B024A"/>
    <w:rsid w:val="008D0EFC"/>
    <w:rsid w:val="00902C39"/>
    <w:rsid w:val="00953A75"/>
    <w:rsid w:val="00986698"/>
    <w:rsid w:val="009954D7"/>
    <w:rsid w:val="009A6849"/>
    <w:rsid w:val="009D3C08"/>
    <w:rsid w:val="00A05A76"/>
    <w:rsid w:val="00A52597"/>
    <w:rsid w:val="00A768AC"/>
    <w:rsid w:val="00AE27A3"/>
    <w:rsid w:val="00B10D5E"/>
    <w:rsid w:val="00B32BB3"/>
    <w:rsid w:val="00B34FAE"/>
    <w:rsid w:val="00CD0D14"/>
    <w:rsid w:val="00D32FC3"/>
    <w:rsid w:val="00D652DE"/>
    <w:rsid w:val="00DB136E"/>
    <w:rsid w:val="00DB2D5A"/>
    <w:rsid w:val="00DB7A29"/>
    <w:rsid w:val="00DC517D"/>
    <w:rsid w:val="00DD1A19"/>
    <w:rsid w:val="00DD6E7B"/>
    <w:rsid w:val="00E37558"/>
    <w:rsid w:val="00EB27C2"/>
    <w:rsid w:val="00EB2C54"/>
    <w:rsid w:val="00ED49A8"/>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Мосягина Клавдия Николаевна</cp:lastModifiedBy>
  <cp:revision>4</cp:revision>
  <cp:lastPrinted>2023-09-06T10:20:00Z</cp:lastPrinted>
  <dcterms:created xsi:type="dcterms:W3CDTF">2024-02-28T11:16:00Z</dcterms:created>
  <dcterms:modified xsi:type="dcterms:W3CDTF">2024-03-13T12:41:00Z</dcterms:modified>
</cp:coreProperties>
</file>