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B8A1" w14:textId="77777777" w:rsidR="00FC3C2A" w:rsidRDefault="00FC3C2A" w:rsidP="00E148C1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14:paraId="314EB841" w14:textId="77777777" w:rsidR="00FC3C2A" w:rsidRDefault="00FC3C2A" w:rsidP="00FC3C2A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14:paraId="5561E372" w14:textId="213E4B05" w:rsidR="007474C2" w:rsidRPr="00C15E34" w:rsidRDefault="00BB40D6" w:rsidP="00C15E34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67E731D4" w14:textId="3723E579" w:rsidR="00984F97" w:rsidRPr="00984F97" w:rsidRDefault="00984F97" w:rsidP="00984F97">
      <w:pPr>
        <w:keepNext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984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поставка телевизоров с телетекстом для приема программ со скрытыми субтитрами для обеспечения инвалидов </w:t>
      </w:r>
      <w:r w:rsidR="00A2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0F1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году.</w:t>
      </w:r>
    </w:p>
    <w:p w14:paraId="2B6F7286" w14:textId="77777777" w:rsidR="00984F97" w:rsidRPr="00984F97" w:rsidRDefault="00984F97" w:rsidP="00984F97">
      <w:pPr>
        <w:keepNext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984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14:paraId="6D8956B8" w14:textId="77777777" w:rsidR="00984F97" w:rsidRPr="00984F97" w:rsidRDefault="00984F97" w:rsidP="00984F97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Товара должен определяться по выбору Получателя: </w:t>
      </w:r>
    </w:p>
    <w:p w14:paraId="48D0BB18" w14:textId="77777777" w:rsidR="00984F97" w:rsidRPr="00984F97" w:rsidRDefault="00984F97" w:rsidP="0098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0AA65114" w14:textId="77777777" w:rsidR="00984F97" w:rsidRPr="00984F97" w:rsidRDefault="00984F97" w:rsidP="0098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14:paraId="29811913" w14:textId="6D94014A" w:rsidR="00984F97" w:rsidRPr="00984F97" w:rsidRDefault="00984F97" w:rsidP="00984F97">
      <w:pPr>
        <w:widowControl w:val="0"/>
        <w:numPr>
          <w:ilvl w:val="0"/>
          <w:numId w:val="9"/>
        </w:numPr>
        <w:tabs>
          <w:tab w:val="left" w:pos="128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</w:t>
      </w:r>
      <w:r w:rsidRPr="00984F9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  <w:r w:rsidRPr="00984F97">
        <w:rPr>
          <w:rFonts w:ascii="Times New Roman" w:eastAsia="Calibri" w:hAnsi="Times New Roman" w:cs="Times New Roman"/>
          <w:sz w:val="24"/>
          <w:szCs w:val="24"/>
        </w:rPr>
        <w:t xml:space="preserve"> с даты получения от Заказчика реестра получат</w:t>
      </w:r>
      <w:r w:rsidR="005F589F">
        <w:rPr>
          <w:rFonts w:ascii="Times New Roman" w:eastAsia="Calibri" w:hAnsi="Times New Roman" w:cs="Times New Roman"/>
          <w:sz w:val="24"/>
          <w:szCs w:val="24"/>
        </w:rPr>
        <w:t>елей Товара по</w:t>
      </w:r>
      <w:r w:rsidR="000F1281">
        <w:rPr>
          <w:rFonts w:ascii="Times New Roman" w:eastAsia="Calibri" w:hAnsi="Times New Roman" w:cs="Times New Roman"/>
          <w:sz w:val="24"/>
          <w:szCs w:val="24"/>
        </w:rPr>
        <w:t xml:space="preserve"> «30» августа 2023</w:t>
      </w:r>
      <w:r w:rsidRPr="00984F97">
        <w:rPr>
          <w:rFonts w:ascii="Times New Roman" w:eastAsia="Calibri" w:hAnsi="Times New Roman" w:cs="Times New Roman"/>
          <w:sz w:val="24"/>
          <w:szCs w:val="24"/>
        </w:rPr>
        <w:t xml:space="preserve"> года. Поставка Товара Получателям осуществляется Поставщиком после получения от Заказчика реестра получателей Товара. Поставка Товара Получателям не должна превышать 30 (тридцати) календарных дней.</w:t>
      </w:r>
    </w:p>
    <w:p w14:paraId="58ABB934" w14:textId="69055C00" w:rsidR="00984F97" w:rsidRPr="00984F97" w:rsidRDefault="00984F97" w:rsidP="00984F97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поставляемых товаров: </w:t>
      </w:r>
      <w:r w:rsidR="000F128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84F97">
        <w:rPr>
          <w:rFonts w:ascii="Times New Roman" w:eastAsia="Times New Roman" w:hAnsi="Times New Roman" w:cs="Times New Roman"/>
          <w:sz w:val="24"/>
          <w:szCs w:val="24"/>
          <w:lang w:eastAsia="ru-RU"/>
        </w:rPr>
        <w:t>0 штук.</w:t>
      </w:r>
      <w:r w:rsidRPr="0098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EECEEC9" w14:textId="77777777" w:rsidR="00984F97" w:rsidRPr="00984F97" w:rsidRDefault="00984F97" w:rsidP="00984F97">
      <w:pPr>
        <w:widowControl w:val="0"/>
        <w:numPr>
          <w:ilvl w:val="0"/>
          <w:numId w:val="9"/>
        </w:numPr>
        <w:suppressAutoHyphens/>
        <w:spacing w:after="0" w:line="245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F97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Получателям должно предоставляться право выбора способа получения Товара в соответствии с п.2 Описания объекта закупки (Технического задания).</w:t>
      </w:r>
    </w:p>
    <w:p w14:paraId="72916843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получателем должен согласовываться способ, место и время поставки Товара. При выборе Получателем способа получения Товара – по месту жительства Получателя, за 1 календарный день Получатель должен информироваться о дате, времени и месте поставки.</w:t>
      </w:r>
    </w:p>
    <w:p w14:paraId="4F59CAF9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Пункты выдачи Товара должны находиться в местности с таким транспортным сообщением, чтобы Получатель Товара мог добраться от населенного пункта, в котором проживает, до пункта выдачи Товара на общественном транспорте (без пересадок) в промежуток времени, составляющий максимум 2 (два) часа. Местоположение пунктов выдачи должно обеспечивать удобство для Получателей с точки зрения пешеходной доступности от остановок общественного транспорта (максимум 10 минут пешком).</w:t>
      </w:r>
    </w:p>
    <w:p w14:paraId="42CC9D61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Пункты выдачи должны быть организованы в помещениях, оборудованных для приема граждан, в том числе с ограниченными возможностями (инвалидов).</w:t>
      </w:r>
    </w:p>
    <w:p w14:paraId="3EBE73CC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Должна быть исключена длительность ожидания (не более 30 (тридцать) минут с момента обращения) выдачи Товара и обслуживания Получателей в пунктах выдачи.</w:t>
      </w:r>
    </w:p>
    <w:p w14:paraId="2B6D1F9E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6. Требования к техническим, качественным и функциональным характеристикам товара: </w:t>
      </w: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телевизоры с телетекстом для приема программ со скрытыми субтитрами (далее «Телевизоры») предназначены для приема телесигнала, несущего информацию о телевизионном изображении и связанную с ним информацию для доступа инвалидов с нарушениями слуха к информации в виде субтитров.</w:t>
      </w:r>
    </w:p>
    <w:p w14:paraId="1462C751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Материалы, из которых изготавливаются телевизоры, не должны выделять при эксплуатации токсичных веществ. </w:t>
      </w:r>
    </w:p>
    <w:p w14:paraId="2C853CE1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Телевизоры должны отвечать требованиям действующих ГОСТов, технической документации и сертификатам качества завода-изготовителя.</w:t>
      </w:r>
    </w:p>
    <w:p w14:paraId="0E7D3E09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Телевизоры должны соответствовать требованиям Технического регламента Таможенного союза «О безопасности низковольтного оборудования» ТР ТС 004/2011; Технического регламента Таможенного союза «Электромагнитная совместимость технических средств» ТР ТС - 020 – 2011.</w:t>
      </w:r>
    </w:p>
    <w:p w14:paraId="75C19EE1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Телевизоры должны соответствовать ГОСТ 18198-89 «Телевизоры. Общие технические условия», ГОСТ Р 52324-2005 «Эргономические требования к работе с визуальными дисплеями, основанными на плоских панелях. Часть 2. Эргономические требования к дисплеям с плоскими панелями», ГОСТ Р МЭК 62075-2011 «Аудио-, видеоаппаратура, оборудование информационное и техники связи. Проектирование с учетом воздействия окружающей среды».</w:t>
      </w:r>
    </w:p>
    <w:p w14:paraId="1FF9261C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7. Требования к упаковке: </w:t>
      </w: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телевизорах должен быть нанесен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 с внутреннем </w:t>
      </w: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влагонепроницаемым материалом, предохраняющим его от воздействия механических и климатических факторов при транспортировке и хранении. Хранение телевизоров без упаковки не допускается.</w:t>
      </w:r>
    </w:p>
    <w:p w14:paraId="3437CA21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Упаковка должна обеспечивать наиболее полное использование грузоподъемности (вместимости) транспортных средств и удобство выполнения погрузочно-разгрузочных работ. Транспортирование должно производиться любым видом крытого транспорта в соответствии с правилами перевозки грузов, действующим на данном виде транспорта.</w:t>
      </w:r>
    </w:p>
    <w:p w14:paraId="5B52122D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Упаковка технических средств реабилитации должна соответствовать стандартам и техническим условиям на технические средства реабилитации конкретных групп, типов (видов, моделей).</w:t>
      </w:r>
    </w:p>
    <w:p w14:paraId="76903F68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8. Требования к гарантии: </w:t>
      </w: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16DD6AAD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Поставщик должен гарантировать, что весь поставляемый Товар новый, не был в употреблении, в том числе, у Товара не были восстановлены потребительские свойства, Товар не должен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14:paraId="475225EB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Поставщик должен указать адреса специализированных мастерских (сервисных служб) на территории Тюменской области, для обеспечения гарантийного обслуживания поставленных устройств.</w:t>
      </w:r>
    </w:p>
    <w:p w14:paraId="3585959E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Телевизоры должны иметь установленный производителем срок службы, который со дня подписания Акта сдачи-приемки Товара пользователем имеет величину, равную сроку пользования, утвержденного приказом Приказ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 Срок службы телевизора с телетекстом для приема программ со скрытыми субтитрами должен составлять не менее 7 лет.</w:t>
      </w:r>
    </w:p>
    <w:p w14:paraId="60C9A1CB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Обязательно должны быть гарантийные талоны, дающие право на бесплатный ремонт товара во время гарантийного срока пользования. </w:t>
      </w:r>
    </w:p>
    <w:p w14:paraId="3250C8F5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603A1B2B" w14:textId="7E774D2A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Срок выполнения гарантийного ремонта Товара производится в сроки, согласованные с Получателем, но не должен превышать 20 (двадцат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рабочих дней со дня обращения Получателя (Заказчика).  </w:t>
      </w:r>
    </w:p>
    <w:p w14:paraId="30313B5B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6BBED9C3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Поставщик должен указать адреса организаций, учреждений, в которые следует обращаться Получателям для гарантийного и постгарантийного ремонта или устранения неисправностей в течение срока эксплуатации. Обеспечение сервисного обслуживания (технического обслуживания, гарантийного и постгарантийного ремонта) должно производиться на территории Тюменской области, в течение срока эксплуатации технического средства реабилитации.</w:t>
      </w:r>
    </w:p>
    <w:p w14:paraId="13B50787" w14:textId="77777777" w:rsidR="00984F97" w:rsidRPr="00984F97" w:rsidRDefault="00984F97" w:rsidP="00984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F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 при оказании услуг по обеспечению инвалидов техническими средствами реабилитации осуществляется Поставщиком в соответствии с Федеральным законом от 07.02.1992 № 2300-1 «О защите прав потребителей».</w:t>
      </w:r>
    </w:p>
    <w:p w14:paraId="31A1B606" w14:textId="24B89CC7" w:rsidR="00984F97" w:rsidRDefault="00984F97" w:rsidP="00984F97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A5E47" w14:textId="77777777" w:rsidR="00984F97" w:rsidRPr="00984F97" w:rsidRDefault="00984F97" w:rsidP="00984F97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19"/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4972"/>
        <w:gridCol w:w="753"/>
      </w:tblGrid>
      <w:tr w:rsidR="00984F97" w:rsidRPr="00984F97" w14:paraId="0602C903" w14:textId="77777777" w:rsidTr="00D20E5E">
        <w:trPr>
          <w:trHeight w:val="1332"/>
        </w:trPr>
        <w:tc>
          <w:tcPr>
            <w:tcW w:w="562" w:type="dxa"/>
          </w:tcPr>
          <w:p w14:paraId="23D0D82D" w14:textId="77777777" w:rsidR="00984F97" w:rsidRPr="00984F97" w:rsidRDefault="00984F97" w:rsidP="00984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84F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985" w:type="dxa"/>
          </w:tcPr>
          <w:p w14:paraId="0E63CA2E" w14:textId="77777777" w:rsidR="00984F97" w:rsidRDefault="00984F97" w:rsidP="00984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84F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ОКПД2/КТР/</w:t>
            </w:r>
          </w:p>
          <w:p w14:paraId="1E020194" w14:textId="254FF2EC" w:rsidR="00984F97" w:rsidRPr="00984F97" w:rsidRDefault="00984F97" w:rsidP="00984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4F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КОЗ</w:t>
            </w:r>
          </w:p>
        </w:tc>
        <w:tc>
          <w:tcPr>
            <w:tcW w:w="1701" w:type="dxa"/>
          </w:tcPr>
          <w:p w14:paraId="4E034C54" w14:textId="77777777" w:rsidR="00984F97" w:rsidRPr="00984F97" w:rsidRDefault="00984F97" w:rsidP="00984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84F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и номер ТСР в соответствии с приказом Минтруда России от 13.02.2018 N 86н</w:t>
            </w:r>
          </w:p>
        </w:tc>
        <w:tc>
          <w:tcPr>
            <w:tcW w:w="4972" w:type="dxa"/>
          </w:tcPr>
          <w:p w14:paraId="6F9409E1" w14:textId="77777777" w:rsidR="00984F97" w:rsidRPr="00984F97" w:rsidRDefault="00984F97" w:rsidP="00984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84F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Технические характеристики товара</w:t>
            </w:r>
          </w:p>
        </w:tc>
        <w:tc>
          <w:tcPr>
            <w:tcW w:w="753" w:type="dxa"/>
          </w:tcPr>
          <w:p w14:paraId="1D4BF500" w14:textId="77777777" w:rsidR="00984F97" w:rsidRPr="00984F97" w:rsidRDefault="00984F97" w:rsidP="00984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84F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Количество, шт.</w:t>
            </w:r>
          </w:p>
        </w:tc>
      </w:tr>
      <w:tr w:rsidR="00984F97" w:rsidRPr="00984F97" w14:paraId="27D4F895" w14:textId="77777777" w:rsidTr="00D20E5E">
        <w:trPr>
          <w:trHeight w:val="4423"/>
        </w:trPr>
        <w:tc>
          <w:tcPr>
            <w:tcW w:w="562" w:type="dxa"/>
          </w:tcPr>
          <w:p w14:paraId="33E61A8F" w14:textId="77777777" w:rsidR="00984F97" w:rsidRPr="00984F97" w:rsidRDefault="00984F97" w:rsidP="00984F9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1D95A8B5" w14:textId="77777777" w:rsidR="00984F97" w:rsidRPr="00984F97" w:rsidRDefault="00984F97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84F97">
              <w:rPr>
                <w:rFonts w:ascii="Times New Roman" w:eastAsia="Calibri" w:hAnsi="Times New Roman" w:cs="Times New Roman"/>
              </w:rPr>
              <w:t>ОКПД 2 26.40.20.122</w:t>
            </w:r>
          </w:p>
          <w:p w14:paraId="1175E98B" w14:textId="77777777" w:rsidR="00984F97" w:rsidRPr="00984F97" w:rsidRDefault="00984F97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84F97">
              <w:rPr>
                <w:rFonts w:ascii="Times New Roman" w:eastAsia="Calibri" w:hAnsi="Times New Roman" w:cs="Times New Roman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  <w:p w14:paraId="738D3F67" w14:textId="77777777" w:rsidR="00984F97" w:rsidRPr="00984F97" w:rsidRDefault="00984F97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14:paraId="2C51727B" w14:textId="77777777" w:rsidR="00984F97" w:rsidRPr="00984F97" w:rsidRDefault="00984F97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14:paraId="4BA1B658" w14:textId="77777777" w:rsidR="00984F97" w:rsidRPr="00984F97" w:rsidRDefault="00984F97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84F97">
              <w:rPr>
                <w:rFonts w:ascii="Times New Roman" w:eastAsia="Calibri" w:hAnsi="Times New Roman" w:cs="Times New Roman"/>
              </w:rPr>
              <w:t xml:space="preserve">КОЗ </w:t>
            </w:r>
          </w:p>
          <w:p w14:paraId="15DD29C2" w14:textId="77777777" w:rsidR="00984F97" w:rsidRDefault="00984F97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84F97">
              <w:rPr>
                <w:rFonts w:ascii="Times New Roman" w:eastAsia="Calibri" w:hAnsi="Times New Roman" w:cs="Times New Roman"/>
              </w:rPr>
              <w:t>01.28.18.01.01.02</w:t>
            </w:r>
          </w:p>
          <w:p w14:paraId="5952584E" w14:textId="77777777" w:rsidR="00803DAF" w:rsidRDefault="00803DAF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14:paraId="4712882B" w14:textId="77777777" w:rsidR="00803DAF" w:rsidRPr="00984F97" w:rsidRDefault="00803DAF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14:paraId="6097BE82" w14:textId="10316A8E" w:rsidR="00984F97" w:rsidRPr="00984F97" w:rsidRDefault="00803DAF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03DAF">
              <w:rPr>
                <w:rFonts w:ascii="Times New Roman" w:eastAsia="Calibri" w:hAnsi="Times New Roman" w:cs="Times New Roman"/>
              </w:rPr>
              <w:t>КТРУ 26.40.20.122-00000007 - Телевизор с телетекстом для приема программ со скрытыми субтитрами с диагональю не менее 80 см</w:t>
            </w:r>
          </w:p>
          <w:p w14:paraId="3874628F" w14:textId="77777777" w:rsidR="00984F97" w:rsidRPr="00984F97" w:rsidRDefault="00984F97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3F5DFEA" w14:textId="77777777" w:rsidR="00984F97" w:rsidRPr="00984F97" w:rsidRDefault="00984F97" w:rsidP="00984F97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1"/>
              </w:rPr>
            </w:pPr>
            <w:r w:rsidRPr="00984F97">
              <w:rPr>
                <w:rFonts w:ascii="Times New Roman" w:eastAsia="Calibri" w:hAnsi="Times New Roman" w:cs="Times New Roman"/>
                <w:spacing w:val="1"/>
              </w:rPr>
              <w:t>18-01-01</w:t>
            </w:r>
          </w:p>
          <w:p w14:paraId="6A9BF749" w14:textId="77777777" w:rsidR="00984F97" w:rsidRPr="00984F97" w:rsidRDefault="00984F97" w:rsidP="00984F97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1"/>
              </w:rPr>
            </w:pPr>
          </w:p>
          <w:p w14:paraId="7C6A9F35" w14:textId="77777777" w:rsidR="00984F97" w:rsidRPr="00984F97" w:rsidRDefault="00984F97" w:rsidP="00984F97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1"/>
              </w:rPr>
            </w:pPr>
            <w:r w:rsidRPr="00984F97">
              <w:rPr>
                <w:rFonts w:ascii="Times New Roman" w:eastAsia="Calibri" w:hAnsi="Times New Roman" w:cs="Times New Roman"/>
                <w:spacing w:val="1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4972" w:type="dxa"/>
          </w:tcPr>
          <w:p w14:paraId="216A9F7A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      </w:r>
          </w:p>
          <w:p w14:paraId="1274E277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Телевизор должен быть жидкокристаллическим.</w:t>
            </w:r>
          </w:p>
          <w:p w14:paraId="2920AC39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Диагональ телевизора должна быть не менее 80 см (не менее 31,5 дюйм)</w:t>
            </w:r>
          </w:p>
          <w:p w14:paraId="657BDB00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(конкретизировать данный показатель).</w:t>
            </w:r>
          </w:p>
          <w:p w14:paraId="5B8D761A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Формат экрана 16:9.</w:t>
            </w:r>
          </w:p>
          <w:p w14:paraId="5CF89AE3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не менее 50 Гц (участник должен конкретизировать данный показатель).</w:t>
            </w:r>
          </w:p>
          <w:p w14:paraId="485ACF54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Поддержка стандартов DVB-T2; DVB-C.</w:t>
            </w:r>
          </w:p>
          <w:p w14:paraId="5ED0B3B0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Телетекст с памятью не менее 10 страниц (конкретизировать данный показатель).</w:t>
            </w:r>
          </w:p>
          <w:p w14:paraId="078A4F8B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Наличие разъемов для наушников</w:t>
            </w:r>
          </w:p>
          <w:p w14:paraId="601A2A7C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Мощность звука не менее 2 Вт (конкретизировать данный показатель).</w:t>
            </w:r>
          </w:p>
          <w:p w14:paraId="66DCD094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Акустическая система не менее одного динамика (конкретизировать данный показатель).</w:t>
            </w:r>
          </w:p>
          <w:p w14:paraId="403AAF6F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14:paraId="2668FDDB" w14:textId="77777777" w:rsidR="00984F97" w:rsidRPr="00984F97" w:rsidRDefault="00984F97" w:rsidP="00984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Меню должно быть на русском языке.</w:t>
            </w:r>
          </w:p>
          <w:p w14:paraId="24DF8DCE" w14:textId="77777777" w:rsidR="00984F97" w:rsidRPr="00984F97" w:rsidRDefault="00984F97" w:rsidP="00984F9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4F97">
              <w:rPr>
                <w:rFonts w:ascii="Times New Roman" w:eastAsia="Times New Roman" w:hAnsi="Times New Roman" w:cs="Times New Roman"/>
                <w:lang w:eastAsia="ru-RU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753" w:type="dxa"/>
          </w:tcPr>
          <w:p w14:paraId="2F4FEA1C" w14:textId="69D1E795" w:rsidR="00984F97" w:rsidRPr="00984F97" w:rsidRDefault="00615C93" w:rsidP="00984F97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7"/>
              </w:rPr>
            </w:pPr>
            <w:r>
              <w:rPr>
                <w:rFonts w:ascii="Times New Roman" w:eastAsia="Calibri" w:hAnsi="Times New Roman" w:cs="Times New Roman"/>
                <w:spacing w:val="-7"/>
              </w:rPr>
              <w:t>15</w:t>
            </w:r>
            <w:r w:rsidR="00984F97" w:rsidRPr="00984F97">
              <w:rPr>
                <w:rFonts w:ascii="Times New Roman" w:eastAsia="Calibri" w:hAnsi="Times New Roman" w:cs="Times New Roman"/>
                <w:spacing w:val="-7"/>
              </w:rPr>
              <w:t>0</w:t>
            </w:r>
          </w:p>
        </w:tc>
      </w:tr>
      <w:tr w:rsidR="00984F97" w:rsidRPr="00984F97" w14:paraId="55642A5D" w14:textId="77777777" w:rsidTr="00D20E5E">
        <w:trPr>
          <w:trHeight w:val="166"/>
        </w:trPr>
        <w:tc>
          <w:tcPr>
            <w:tcW w:w="562" w:type="dxa"/>
          </w:tcPr>
          <w:p w14:paraId="30513FC0" w14:textId="77777777" w:rsidR="00984F97" w:rsidRPr="00984F97" w:rsidRDefault="00984F97" w:rsidP="00984F97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8077780" w14:textId="77777777" w:rsidR="00984F97" w:rsidRPr="00984F97" w:rsidRDefault="00984F97" w:rsidP="00984F9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1803FAC" w14:textId="77777777" w:rsidR="00984F97" w:rsidRPr="00984F97" w:rsidRDefault="00984F97" w:rsidP="00984F9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2" w:type="dxa"/>
          </w:tcPr>
          <w:p w14:paraId="0017589E" w14:textId="77777777" w:rsidR="00984F97" w:rsidRPr="00984F97" w:rsidRDefault="00984F97" w:rsidP="00984F97">
            <w:pPr>
              <w:spacing w:after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84F9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753" w:type="dxa"/>
            <w:vAlign w:val="center"/>
          </w:tcPr>
          <w:p w14:paraId="1AAF628B" w14:textId="1B8F93C0" w:rsidR="00984F97" w:rsidRPr="00984F97" w:rsidRDefault="00615C93" w:rsidP="00984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</w:t>
            </w:r>
            <w:r w:rsidR="00984F97" w:rsidRPr="00984F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14:paraId="6397022E" w14:textId="1B3AE66C" w:rsidR="00984F97" w:rsidRDefault="00C15E34" w:rsidP="00984F97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  <w:bookmarkStart w:id="0" w:name="_GoBack"/>
      <w:bookmarkEnd w:id="0"/>
    </w:p>
    <w:p w14:paraId="7E26CF36" w14:textId="6DD0B6A3" w:rsidR="00984F97" w:rsidRPr="007474C2" w:rsidRDefault="00984F97" w:rsidP="007474C2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F97" w:rsidRPr="007474C2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D740" w14:textId="77777777" w:rsidR="00000345" w:rsidRDefault="00000345" w:rsidP="007645CA">
      <w:pPr>
        <w:spacing w:after="0" w:line="240" w:lineRule="auto"/>
      </w:pPr>
      <w:r>
        <w:separator/>
      </w:r>
    </w:p>
  </w:endnote>
  <w:endnote w:type="continuationSeparator" w:id="0">
    <w:p w14:paraId="4883C5E7" w14:textId="77777777" w:rsidR="00000345" w:rsidRDefault="00000345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8F44" w14:textId="77777777" w:rsidR="00000345" w:rsidRDefault="00000345" w:rsidP="007645CA">
      <w:pPr>
        <w:spacing w:after="0" w:line="240" w:lineRule="auto"/>
      </w:pPr>
      <w:r>
        <w:separator/>
      </w:r>
    </w:p>
  </w:footnote>
  <w:footnote w:type="continuationSeparator" w:id="0">
    <w:p w14:paraId="60FCF4CA" w14:textId="77777777" w:rsidR="00000345" w:rsidRDefault="00000345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0345"/>
    <w:rsid w:val="00043B14"/>
    <w:rsid w:val="0005006B"/>
    <w:rsid w:val="000A3906"/>
    <w:rsid w:val="000F1281"/>
    <w:rsid w:val="001026DE"/>
    <w:rsid w:val="00105DA6"/>
    <w:rsid w:val="00105F05"/>
    <w:rsid w:val="0013087C"/>
    <w:rsid w:val="00142042"/>
    <w:rsid w:val="001817A3"/>
    <w:rsid w:val="001A0590"/>
    <w:rsid w:val="001C3246"/>
    <w:rsid w:val="001C7354"/>
    <w:rsid w:val="001D3CB4"/>
    <w:rsid w:val="001D46B4"/>
    <w:rsid w:val="001E74A8"/>
    <w:rsid w:val="002059AD"/>
    <w:rsid w:val="002504C6"/>
    <w:rsid w:val="002559F3"/>
    <w:rsid w:val="002B3451"/>
    <w:rsid w:val="002C06E0"/>
    <w:rsid w:val="002D4BA1"/>
    <w:rsid w:val="00307B7F"/>
    <w:rsid w:val="003102A8"/>
    <w:rsid w:val="00312F89"/>
    <w:rsid w:val="0033032C"/>
    <w:rsid w:val="00364EAF"/>
    <w:rsid w:val="00366EDB"/>
    <w:rsid w:val="0038121C"/>
    <w:rsid w:val="003D282B"/>
    <w:rsid w:val="003E585E"/>
    <w:rsid w:val="0040292C"/>
    <w:rsid w:val="0040622D"/>
    <w:rsid w:val="00456254"/>
    <w:rsid w:val="0046309A"/>
    <w:rsid w:val="00496307"/>
    <w:rsid w:val="00496E93"/>
    <w:rsid w:val="004A4F6F"/>
    <w:rsid w:val="004B6976"/>
    <w:rsid w:val="004C17BA"/>
    <w:rsid w:val="004C7A1E"/>
    <w:rsid w:val="0050623D"/>
    <w:rsid w:val="00526B44"/>
    <w:rsid w:val="00544594"/>
    <w:rsid w:val="00561F6D"/>
    <w:rsid w:val="005801B4"/>
    <w:rsid w:val="00580AE3"/>
    <w:rsid w:val="00592B0B"/>
    <w:rsid w:val="00593878"/>
    <w:rsid w:val="005A79FE"/>
    <w:rsid w:val="005D2ECE"/>
    <w:rsid w:val="005D5C9E"/>
    <w:rsid w:val="005F589F"/>
    <w:rsid w:val="006001A0"/>
    <w:rsid w:val="0060158D"/>
    <w:rsid w:val="00615C93"/>
    <w:rsid w:val="0065067C"/>
    <w:rsid w:val="00651AE7"/>
    <w:rsid w:val="0067039C"/>
    <w:rsid w:val="00685F32"/>
    <w:rsid w:val="00690E52"/>
    <w:rsid w:val="006B280A"/>
    <w:rsid w:val="00744ED8"/>
    <w:rsid w:val="007474C2"/>
    <w:rsid w:val="007571AA"/>
    <w:rsid w:val="007645CA"/>
    <w:rsid w:val="007742D9"/>
    <w:rsid w:val="007C2782"/>
    <w:rsid w:val="007C5BCD"/>
    <w:rsid w:val="007E51B2"/>
    <w:rsid w:val="00803DAF"/>
    <w:rsid w:val="00830556"/>
    <w:rsid w:val="00831449"/>
    <w:rsid w:val="0085699B"/>
    <w:rsid w:val="0086207B"/>
    <w:rsid w:val="00864B03"/>
    <w:rsid w:val="008676AD"/>
    <w:rsid w:val="00891FC3"/>
    <w:rsid w:val="00892673"/>
    <w:rsid w:val="00896943"/>
    <w:rsid w:val="008B55D9"/>
    <w:rsid w:val="008C6240"/>
    <w:rsid w:val="008C7068"/>
    <w:rsid w:val="008E0767"/>
    <w:rsid w:val="008F07E8"/>
    <w:rsid w:val="008F172C"/>
    <w:rsid w:val="009000D5"/>
    <w:rsid w:val="00907B9E"/>
    <w:rsid w:val="0091572C"/>
    <w:rsid w:val="00926A86"/>
    <w:rsid w:val="00931B6D"/>
    <w:rsid w:val="00932E3B"/>
    <w:rsid w:val="009555D9"/>
    <w:rsid w:val="00984F97"/>
    <w:rsid w:val="009862E5"/>
    <w:rsid w:val="00997094"/>
    <w:rsid w:val="009A381A"/>
    <w:rsid w:val="009B78AF"/>
    <w:rsid w:val="009C29C7"/>
    <w:rsid w:val="009E7922"/>
    <w:rsid w:val="00A20DA6"/>
    <w:rsid w:val="00A241A4"/>
    <w:rsid w:val="00A24429"/>
    <w:rsid w:val="00A262DC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27A71"/>
    <w:rsid w:val="00B760FC"/>
    <w:rsid w:val="00B94B07"/>
    <w:rsid w:val="00BA62F2"/>
    <w:rsid w:val="00BB40D6"/>
    <w:rsid w:val="00BD06B2"/>
    <w:rsid w:val="00C107D2"/>
    <w:rsid w:val="00C11B85"/>
    <w:rsid w:val="00C15E34"/>
    <w:rsid w:val="00C262D4"/>
    <w:rsid w:val="00C35D85"/>
    <w:rsid w:val="00C372E2"/>
    <w:rsid w:val="00C4300A"/>
    <w:rsid w:val="00C7008D"/>
    <w:rsid w:val="00CD034D"/>
    <w:rsid w:val="00CD3132"/>
    <w:rsid w:val="00CD63B8"/>
    <w:rsid w:val="00CF1D05"/>
    <w:rsid w:val="00D3146E"/>
    <w:rsid w:val="00D47B36"/>
    <w:rsid w:val="00D51A04"/>
    <w:rsid w:val="00D54EAE"/>
    <w:rsid w:val="00D76E9C"/>
    <w:rsid w:val="00D96E01"/>
    <w:rsid w:val="00DA3747"/>
    <w:rsid w:val="00E10543"/>
    <w:rsid w:val="00E148C1"/>
    <w:rsid w:val="00E15A9B"/>
    <w:rsid w:val="00E21B86"/>
    <w:rsid w:val="00E76FD5"/>
    <w:rsid w:val="00E82371"/>
    <w:rsid w:val="00E96FD9"/>
    <w:rsid w:val="00EE4AB2"/>
    <w:rsid w:val="00EE7CC5"/>
    <w:rsid w:val="00EF6671"/>
    <w:rsid w:val="00F511AE"/>
    <w:rsid w:val="00FB3149"/>
    <w:rsid w:val="00FC3C2A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571AA"/>
  </w:style>
  <w:style w:type="table" w:customStyle="1" w:styleId="12">
    <w:name w:val="Сетка таблицы1"/>
    <w:basedOn w:val="a1"/>
    <w:next w:val="ad"/>
    <w:uiPriority w:val="99"/>
    <w:rsid w:val="0075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Мухамедзянов Артур Вильданович</cp:lastModifiedBy>
  <cp:revision>2</cp:revision>
  <cp:lastPrinted>2022-01-31T05:49:00Z</cp:lastPrinted>
  <dcterms:created xsi:type="dcterms:W3CDTF">2022-10-28T04:20:00Z</dcterms:created>
  <dcterms:modified xsi:type="dcterms:W3CDTF">2022-10-28T04:20:00Z</dcterms:modified>
</cp:coreProperties>
</file>