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590" w:rsidRDefault="00EC2590" w:rsidP="006736CC">
      <w:pPr>
        <w:jc w:val="center"/>
      </w:pPr>
      <w:r>
        <w:t>Техническое задание</w:t>
      </w:r>
    </w:p>
    <w:p w:rsidR="00BB16DF" w:rsidRPr="00446270" w:rsidRDefault="00BB16DF" w:rsidP="00BB16DF">
      <w:pPr>
        <w:rPr>
          <w:u w:val="single"/>
        </w:rPr>
      </w:pPr>
    </w:p>
    <w:p w:rsidR="00EC2590" w:rsidRPr="00446270" w:rsidRDefault="00EC2590" w:rsidP="006736CC">
      <w:pPr>
        <w:rPr>
          <w:u w:val="single"/>
        </w:rPr>
      </w:pPr>
    </w:p>
    <w:p w:rsidR="00EC2590" w:rsidRDefault="00446270" w:rsidP="002B0B8D">
      <w:pPr>
        <w:numPr>
          <w:ilvl w:val="0"/>
          <w:numId w:val="7"/>
        </w:numPr>
        <w:jc w:val="both"/>
        <w:rPr>
          <w:color w:val="000000"/>
          <w:szCs w:val="22"/>
          <w:u w:val="single"/>
        </w:rPr>
      </w:pPr>
      <w:r w:rsidRPr="00446270">
        <w:rPr>
          <w:color w:val="000000"/>
          <w:szCs w:val="22"/>
          <w:u w:val="single"/>
        </w:rPr>
        <w:t>Технические и функциональные характеристики товара</w:t>
      </w:r>
    </w:p>
    <w:p w:rsidR="00751B6D" w:rsidRPr="00446270" w:rsidRDefault="00751B6D" w:rsidP="00751B6D">
      <w:pPr>
        <w:ind w:left="1788"/>
        <w:jc w:val="both"/>
        <w:rPr>
          <w:color w:val="000000"/>
          <w:szCs w:val="22"/>
          <w:u w:val="single"/>
        </w:rPr>
      </w:pPr>
    </w:p>
    <w:tbl>
      <w:tblPr>
        <w:tblW w:w="13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1005"/>
        <w:gridCol w:w="1405"/>
        <w:gridCol w:w="1788"/>
        <w:gridCol w:w="5279"/>
        <w:gridCol w:w="1107"/>
        <w:gridCol w:w="1134"/>
        <w:gridCol w:w="1552"/>
      </w:tblGrid>
      <w:tr w:rsidR="00992944" w:rsidRPr="00036259" w:rsidTr="005A14CE">
        <w:trPr>
          <w:trHeight w:val="612"/>
          <w:jc w:val="center"/>
        </w:trPr>
        <w:tc>
          <w:tcPr>
            <w:tcW w:w="545" w:type="dxa"/>
            <w:vAlign w:val="center"/>
          </w:tcPr>
          <w:p w:rsidR="00992944" w:rsidRPr="00036259" w:rsidRDefault="00992944" w:rsidP="005A14CE">
            <w:pPr>
              <w:jc w:val="center"/>
              <w:rPr>
                <w:color w:val="000000"/>
                <w:sz w:val="20"/>
                <w:szCs w:val="20"/>
              </w:rPr>
            </w:pPr>
            <w:r w:rsidRPr="00036259">
              <w:rPr>
                <w:color w:val="000000"/>
                <w:sz w:val="20"/>
                <w:szCs w:val="20"/>
              </w:rPr>
              <w:t>№ п/п</w:t>
            </w:r>
          </w:p>
        </w:tc>
        <w:tc>
          <w:tcPr>
            <w:tcW w:w="1005" w:type="dxa"/>
            <w:vAlign w:val="center"/>
          </w:tcPr>
          <w:p w:rsidR="00992944" w:rsidRPr="00036259" w:rsidRDefault="00992944" w:rsidP="005A14CE">
            <w:pPr>
              <w:jc w:val="center"/>
              <w:rPr>
                <w:sz w:val="20"/>
                <w:szCs w:val="20"/>
              </w:rPr>
            </w:pPr>
          </w:p>
          <w:p w:rsidR="00992944" w:rsidRPr="00036259" w:rsidRDefault="00992944" w:rsidP="005A14CE">
            <w:pPr>
              <w:jc w:val="center"/>
              <w:rPr>
                <w:sz w:val="20"/>
                <w:szCs w:val="20"/>
              </w:rPr>
            </w:pPr>
          </w:p>
          <w:p w:rsidR="00992944" w:rsidRPr="00036259" w:rsidRDefault="00992944" w:rsidP="005A14CE">
            <w:pPr>
              <w:jc w:val="center"/>
              <w:rPr>
                <w:sz w:val="20"/>
                <w:szCs w:val="20"/>
              </w:rPr>
            </w:pPr>
            <w:r w:rsidRPr="00B804C5">
              <w:rPr>
                <w:sz w:val="20"/>
                <w:szCs w:val="20"/>
              </w:rPr>
              <w:t>Наименование товара по КТРУ/Код позиции по КТРУ</w:t>
            </w:r>
          </w:p>
        </w:tc>
        <w:tc>
          <w:tcPr>
            <w:tcW w:w="1405" w:type="dxa"/>
            <w:vAlign w:val="center"/>
          </w:tcPr>
          <w:p w:rsidR="00992944" w:rsidRPr="00036259" w:rsidRDefault="00992944" w:rsidP="005A14CE">
            <w:pPr>
              <w:jc w:val="center"/>
              <w:rPr>
                <w:sz w:val="20"/>
                <w:szCs w:val="20"/>
              </w:rPr>
            </w:pPr>
            <w:r w:rsidRPr="00921A6F">
              <w:rPr>
                <w:sz w:val="20"/>
                <w:szCs w:val="20"/>
              </w:rPr>
              <w:t>Описание товара в соответствии с КТРУ</w:t>
            </w:r>
          </w:p>
        </w:tc>
        <w:tc>
          <w:tcPr>
            <w:tcW w:w="1788" w:type="dxa"/>
            <w:vAlign w:val="center"/>
          </w:tcPr>
          <w:p w:rsidR="00992944" w:rsidRPr="00921A6F" w:rsidRDefault="00992944" w:rsidP="005A14CE">
            <w:pPr>
              <w:spacing w:line="100" w:lineRule="atLeast"/>
              <w:jc w:val="center"/>
              <w:rPr>
                <w:sz w:val="20"/>
                <w:szCs w:val="20"/>
              </w:rPr>
            </w:pPr>
            <w:r w:rsidRPr="00921A6F">
              <w:rPr>
                <w:sz w:val="20"/>
                <w:szCs w:val="20"/>
              </w:rPr>
              <w:t xml:space="preserve">Номер вида и наименование технического </w:t>
            </w:r>
            <w:proofErr w:type="spellStart"/>
            <w:r w:rsidRPr="00921A6F">
              <w:rPr>
                <w:sz w:val="20"/>
                <w:szCs w:val="20"/>
              </w:rPr>
              <w:t>средст</w:t>
            </w:r>
            <w:proofErr w:type="spellEnd"/>
          </w:p>
          <w:p w:rsidR="00992944" w:rsidRPr="00036259" w:rsidRDefault="00992944" w:rsidP="005A14CE">
            <w:pPr>
              <w:jc w:val="center"/>
              <w:rPr>
                <w:color w:val="000000"/>
                <w:sz w:val="20"/>
                <w:szCs w:val="20"/>
              </w:rPr>
            </w:pPr>
            <w:proofErr w:type="spellStart"/>
            <w:r w:rsidRPr="00921A6F">
              <w:rPr>
                <w:sz w:val="20"/>
                <w:szCs w:val="20"/>
              </w:rPr>
              <w:t>ва</w:t>
            </w:r>
            <w:proofErr w:type="spellEnd"/>
            <w:r w:rsidRPr="00921A6F">
              <w:rPr>
                <w:sz w:val="20"/>
                <w:szCs w:val="20"/>
              </w:rPr>
              <w:t xml:space="preserve"> реабилитации (изделий)</w:t>
            </w:r>
            <w:r>
              <w:rPr>
                <w:rStyle w:val="a3"/>
                <w:sz w:val="20"/>
                <w:szCs w:val="20"/>
              </w:rPr>
              <w:footnoteReference w:id="1"/>
            </w:r>
            <w:r w:rsidRPr="00921A6F">
              <w:t xml:space="preserve"> </w:t>
            </w:r>
            <w:r w:rsidRPr="00921A6F">
              <w:rPr>
                <w:sz w:val="20"/>
                <w:szCs w:val="20"/>
              </w:rPr>
              <w:t>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13.02. 2018 г. №86н</w:t>
            </w:r>
          </w:p>
        </w:tc>
        <w:tc>
          <w:tcPr>
            <w:tcW w:w="5279" w:type="dxa"/>
            <w:vAlign w:val="center"/>
          </w:tcPr>
          <w:p w:rsidR="00992944" w:rsidRPr="00036259" w:rsidRDefault="00992944" w:rsidP="005A14CE">
            <w:pPr>
              <w:jc w:val="center"/>
              <w:rPr>
                <w:color w:val="000000"/>
                <w:sz w:val="20"/>
                <w:szCs w:val="20"/>
              </w:rPr>
            </w:pPr>
            <w:r w:rsidRPr="00036259">
              <w:rPr>
                <w:color w:val="000000"/>
                <w:sz w:val="20"/>
                <w:szCs w:val="20"/>
              </w:rPr>
              <w:t>Технические и функциональные характеристики товара</w:t>
            </w:r>
          </w:p>
        </w:tc>
        <w:tc>
          <w:tcPr>
            <w:tcW w:w="1107" w:type="dxa"/>
            <w:vAlign w:val="center"/>
          </w:tcPr>
          <w:p w:rsidR="00992944" w:rsidRPr="00036259" w:rsidRDefault="00992944" w:rsidP="005A14CE">
            <w:pPr>
              <w:jc w:val="center"/>
              <w:rPr>
                <w:color w:val="000000"/>
                <w:sz w:val="20"/>
                <w:szCs w:val="20"/>
              </w:rPr>
            </w:pPr>
            <w:r w:rsidRPr="00921A6F">
              <w:rPr>
                <w:sz w:val="20"/>
                <w:szCs w:val="20"/>
              </w:rPr>
              <w:t>Кол-во</w:t>
            </w:r>
            <w:r>
              <w:rPr>
                <w:sz w:val="20"/>
                <w:szCs w:val="20"/>
              </w:rPr>
              <w:t xml:space="preserve">, </w:t>
            </w:r>
            <w:r w:rsidRPr="00921A6F">
              <w:rPr>
                <w:sz w:val="20"/>
                <w:szCs w:val="20"/>
              </w:rPr>
              <w:t>шт.</w:t>
            </w:r>
          </w:p>
        </w:tc>
        <w:tc>
          <w:tcPr>
            <w:tcW w:w="1134" w:type="dxa"/>
            <w:vAlign w:val="center"/>
          </w:tcPr>
          <w:p w:rsidR="00992944" w:rsidRPr="00921A6F" w:rsidRDefault="00992944" w:rsidP="005A14CE">
            <w:pPr>
              <w:jc w:val="center"/>
              <w:rPr>
                <w:sz w:val="20"/>
                <w:szCs w:val="20"/>
              </w:rPr>
            </w:pPr>
            <w:r w:rsidRPr="00921A6F">
              <w:rPr>
                <w:sz w:val="20"/>
                <w:szCs w:val="20"/>
              </w:rPr>
              <w:t>Средняя цена единицы товара,</w:t>
            </w:r>
          </w:p>
          <w:p w:rsidR="00992944" w:rsidRPr="00036259" w:rsidRDefault="00992944" w:rsidP="005A14CE">
            <w:pPr>
              <w:jc w:val="center"/>
              <w:rPr>
                <w:color w:val="000000"/>
                <w:sz w:val="20"/>
                <w:szCs w:val="20"/>
              </w:rPr>
            </w:pPr>
            <w:proofErr w:type="spellStart"/>
            <w:r w:rsidRPr="00921A6F">
              <w:rPr>
                <w:sz w:val="20"/>
                <w:szCs w:val="20"/>
              </w:rPr>
              <w:t>руб</w:t>
            </w:r>
            <w:proofErr w:type="spellEnd"/>
          </w:p>
        </w:tc>
        <w:tc>
          <w:tcPr>
            <w:tcW w:w="1552" w:type="dxa"/>
            <w:vAlign w:val="center"/>
          </w:tcPr>
          <w:p w:rsidR="00992944" w:rsidRPr="00036259" w:rsidRDefault="00992944" w:rsidP="005A14CE">
            <w:pPr>
              <w:jc w:val="center"/>
              <w:rPr>
                <w:color w:val="000000"/>
                <w:sz w:val="20"/>
                <w:szCs w:val="20"/>
              </w:rPr>
            </w:pPr>
            <w:r w:rsidRPr="00921A6F">
              <w:rPr>
                <w:sz w:val="20"/>
                <w:szCs w:val="20"/>
              </w:rPr>
              <w:t>Начальная (максимальная) цена контракта, руб.</w:t>
            </w:r>
          </w:p>
        </w:tc>
      </w:tr>
      <w:tr w:rsidR="00992944" w:rsidRPr="00036259" w:rsidTr="005A14CE">
        <w:trPr>
          <w:trHeight w:val="244"/>
          <w:jc w:val="center"/>
        </w:trPr>
        <w:tc>
          <w:tcPr>
            <w:tcW w:w="545" w:type="dxa"/>
            <w:vAlign w:val="center"/>
          </w:tcPr>
          <w:p w:rsidR="00992944" w:rsidRPr="00036259" w:rsidRDefault="00992944" w:rsidP="005A14CE">
            <w:pPr>
              <w:jc w:val="center"/>
              <w:rPr>
                <w:sz w:val="20"/>
                <w:szCs w:val="20"/>
              </w:rPr>
            </w:pPr>
            <w:r w:rsidRPr="00036259">
              <w:rPr>
                <w:sz w:val="20"/>
                <w:szCs w:val="20"/>
              </w:rPr>
              <w:t>1</w:t>
            </w:r>
          </w:p>
        </w:tc>
        <w:tc>
          <w:tcPr>
            <w:tcW w:w="1005" w:type="dxa"/>
          </w:tcPr>
          <w:p w:rsidR="00992944" w:rsidRPr="00036259" w:rsidRDefault="00992944" w:rsidP="005A14CE">
            <w:pPr>
              <w:spacing w:line="100" w:lineRule="atLeast"/>
              <w:jc w:val="center"/>
              <w:rPr>
                <w:sz w:val="20"/>
                <w:szCs w:val="20"/>
              </w:rPr>
            </w:pPr>
            <w:r w:rsidRPr="00036259">
              <w:rPr>
                <w:sz w:val="20"/>
                <w:szCs w:val="20"/>
              </w:rPr>
              <w:t>2</w:t>
            </w:r>
          </w:p>
        </w:tc>
        <w:tc>
          <w:tcPr>
            <w:tcW w:w="1405" w:type="dxa"/>
          </w:tcPr>
          <w:p w:rsidR="00992944" w:rsidRPr="00036259" w:rsidRDefault="00992944" w:rsidP="005A14CE">
            <w:pPr>
              <w:spacing w:line="100" w:lineRule="atLeast"/>
              <w:jc w:val="center"/>
              <w:rPr>
                <w:sz w:val="20"/>
                <w:szCs w:val="20"/>
              </w:rPr>
            </w:pPr>
            <w:r>
              <w:rPr>
                <w:sz w:val="20"/>
                <w:szCs w:val="20"/>
              </w:rPr>
              <w:t>3</w:t>
            </w:r>
          </w:p>
        </w:tc>
        <w:tc>
          <w:tcPr>
            <w:tcW w:w="1788" w:type="dxa"/>
            <w:vAlign w:val="center"/>
          </w:tcPr>
          <w:p w:rsidR="00992944" w:rsidRPr="00036259" w:rsidRDefault="00992944" w:rsidP="005A14CE">
            <w:pPr>
              <w:spacing w:line="100" w:lineRule="atLeast"/>
              <w:jc w:val="center"/>
              <w:rPr>
                <w:sz w:val="20"/>
                <w:szCs w:val="20"/>
              </w:rPr>
            </w:pPr>
            <w:r>
              <w:rPr>
                <w:sz w:val="20"/>
                <w:szCs w:val="20"/>
              </w:rPr>
              <w:t>4</w:t>
            </w:r>
          </w:p>
        </w:tc>
        <w:tc>
          <w:tcPr>
            <w:tcW w:w="5279" w:type="dxa"/>
            <w:vAlign w:val="center"/>
          </w:tcPr>
          <w:p w:rsidR="00992944" w:rsidRPr="00036259" w:rsidRDefault="00992944" w:rsidP="005A14CE">
            <w:pPr>
              <w:spacing w:line="100" w:lineRule="atLeast"/>
              <w:jc w:val="center"/>
              <w:rPr>
                <w:sz w:val="20"/>
                <w:szCs w:val="20"/>
              </w:rPr>
            </w:pPr>
            <w:r>
              <w:rPr>
                <w:sz w:val="20"/>
                <w:szCs w:val="20"/>
              </w:rPr>
              <w:t>5</w:t>
            </w:r>
          </w:p>
        </w:tc>
        <w:tc>
          <w:tcPr>
            <w:tcW w:w="1107" w:type="dxa"/>
          </w:tcPr>
          <w:p w:rsidR="00992944" w:rsidRPr="00036259" w:rsidRDefault="00992944" w:rsidP="005A14CE">
            <w:pPr>
              <w:jc w:val="center"/>
              <w:rPr>
                <w:sz w:val="20"/>
                <w:szCs w:val="20"/>
              </w:rPr>
            </w:pPr>
            <w:r>
              <w:rPr>
                <w:sz w:val="20"/>
                <w:szCs w:val="20"/>
              </w:rPr>
              <w:t>6</w:t>
            </w:r>
          </w:p>
        </w:tc>
        <w:tc>
          <w:tcPr>
            <w:tcW w:w="1134" w:type="dxa"/>
          </w:tcPr>
          <w:p w:rsidR="00992944" w:rsidRPr="00036259" w:rsidRDefault="00992944" w:rsidP="005A14CE">
            <w:pPr>
              <w:jc w:val="center"/>
              <w:rPr>
                <w:sz w:val="20"/>
                <w:szCs w:val="20"/>
              </w:rPr>
            </w:pPr>
            <w:r>
              <w:rPr>
                <w:sz w:val="20"/>
                <w:szCs w:val="20"/>
              </w:rPr>
              <w:t>7</w:t>
            </w:r>
          </w:p>
        </w:tc>
        <w:tc>
          <w:tcPr>
            <w:tcW w:w="1552" w:type="dxa"/>
          </w:tcPr>
          <w:p w:rsidR="00992944" w:rsidRPr="00036259" w:rsidRDefault="00992944" w:rsidP="005A14CE">
            <w:pPr>
              <w:jc w:val="center"/>
              <w:rPr>
                <w:sz w:val="20"/>
                <w:szCs w:val="20"/>
              </w:rPr>
            </w:pPr>
            <w:r>
              <w:rPr>
                <w:sz w:val="20"/>
                <w:szCs w:val="20"/>
              </w:rPr>
              <w:t>8</w:t>
            </w:r>
          </w:p>
        </w:tc>
      </w:tr>
      <w:tr w:rsidR="00992944" w:rsidRPr="00036259" w:rsidTr="005A14CE">
        <w:trPr>
          <w:jc w:val="center"/>
        </w:trPr>
        <w:tc>
          <w:tcPr>
            <w:tcW w:w="545" w:type="dxa"/>
          </w:tcPr>
          <w:p w:rsidR="00992944" w:rsidRPr="00036259" w:rsidRDefault="00992944" w:rsidP="005A14CE">
            <w:pPr>
              <w:jc w:val="center"/>
              <w:rPr>
                <w:sz w:val="20"/>
                <w:szCs w:val="20"/>
              </w:rPr>
            </w:pPr>
            <w:r>
              <w:rPr>
                <w:sz w:val="20"/>
                <w:szCs w:val="20"/>
              </w:rPr>
              <w:t>1</w:t>
            </w:r>
          </w:p>
        </w:tc>
        <w:tc>
          <w:tcPr>
            <w:tcW w:w="1005" w:type="dxa"/>
          </w:tcPr>
          <w:p w:rsidR="00992944" w:rsidRPr="00036259" w:rsidRDefault="00992944" w:rsidP="005A14CE">
            <w:pPr>
              <w:jc w:val="center"/>
              <w:rPr>
                <w:sz w:val="20"/>
                <w:szCs w:val="20"/>
              </w:rPr>
            </w:pPr>
            <w:r w:rsidRPr="000677B9">
              <w:rPr>
                <w:sz w:val="20"/>
                <w:szCs w:val="20"/>
              </w:rPr>
              <w:t>32.50.22.129/отсутствует</w:t>
            </w:r>
          </w:p>
        </w:tc>
        <w:tc>
          <w:tcPr>
            <w:tcW w:w="1405" w:type="dxa"/>
          </w:tcPr>
          <w:p w:rsidR="00992944" w:rsidRPr="00036259" w:rsidRDefault="00992944" w:rsidP="005A14CE">
            <w:pPr>
              <w:jc w:val="center"/>
              <w:rPr>
                <w:sz w:val="20"/>
                <w:szCs w:val="20"/>
              </w:rPr>
            </w:pPr>
            <w:r>
              <w:rPr>
                <w:sz w:val="20"/>
                <w:szCs w:val="20"/>
              </w:rPr>
              <w:t>-</w:t>
            </w:r>
          </w:p>
        </w:tc>
        <w:tc>
          <w:tcPr>
            <w:tcW w:w="1788" w:type="dxa"/>
          </w:tcPr>
          <w:p w:rsidR="00992944" w:rsidRPr="000677B9" w:rsidRDefault="00992944" w:rsidP="005A14CE">
            <w:pPr>
              <w:jc w:val="center"/>
              <w:rPr>
                <w:sz w:val="20"/>
                <w:szCs w:val="20"/>
              </w:rPr>
            </w:pPr>
            <w:r w:rsidRPr="000677B9">
              <w:rPr>
                <w:sz w:val="20"/>
                <w:szCs w:val="20"/>
              </w:rPr>
              <w:t>6-10-06</w:t>
            </w:r>
          </w:p>
          <w:p w:rsidR="00992944" w:rsidRDefault="00992944" w:rsidP="005A14CE">
            <w:pPr>
              <w:jc w:val="center"/>
              <w:rPr>
                <w:sz w:val="20"/>
                <w:szCs w:val="20"/>
              </w:rPr>
            </w:pPr>
            <w:r w:rsidRPr="000677B9">
              <w:rPr>
                <w:sz w:val="20"/>
                <w:szCs w:val="20"/>
              </w:rPr>
              <w:br w:type="page"/>
              <w:t xml:space="preserve">Ходунки с дополнительной </w:t>
            </w:r>
            <w:r w:rsidRPr="000677B9">
              <w:rPr>
                <w:sz w:val="20"/>
                <w:szCs w:val="20"/>
              </w:rPr>
              <w:lastRenderedPageBreak/>
              <w:t>фиксацией (поддержкой) тела, в том числе для больных детским церебральным параличом (ДЦП)</w:t>
            </w:r>
          </w:p>
          <w:p w:rsidR="00992944" w:rsidRPr="00036259" w:rsidRDefault="00992944" w:rsidP="005A14CE">
            <w:pPr>
              <w:jc w:val="center"/>
              <w:rPr>
                <w:sz w:val="20"/>
                <w:szCs w:val="20"/>
              </w:rPr>
            </w:pPr>
          </w:p>
        </w:tc>
        <w:tc>
          <w:tcPr>
            <w:tcW w:w="5279" w:type="dxa"/>
          </w:tcPr>
          <w:p w:rsidR="00992944" w:rsidRPr="00032672" w:rsidRDefault="00992944" w:rsidP="005A14CE">
            <w:pPr>
              <w:jc w:val="both"/>
              <w:rPr>
                <w:sz w:val="20"/>
                <w:szCs w:val="20"/>
              </w:rPr>
            </w:pPr>
            <w:r w:rsidRPr="00032672">
              <w:rPr>
                <w:sz w:val="20"/>
                <w:szCs w:val="20"/>
              </w:rPr>
              <w:lastRenderedPageBreak/>
              <w:t>Ходунки с дополнительной фиксацией (поддержкой) тела, в том числе для больных детским церебральным параличом (ДЦП)</w:t>
            </w:r>
            <w:r>
              <w:rPr>
                <w:sz w:val="20"/>
                <w:szCs w:val="20"/>
              </w:rPr>
              <w:t>.</w:t>
            </w:r>
          </w:p>
          <w:p w:rsidR="00992944" w:rsidRPr="00036259" w:rsidRDefault="00992944" w:rsidP="005A14CE">
            <w:pPr>
              <w:jc w:val="both"/>
              <w:rPr>
                <w:sz w:val="20"/>
                <w:szCs w:val="20"/>
              </w:rPr>
            </w:pPr>
            <w:r w:rsidRPr="004A2BB8">
              <w:rPr>
                <w:sz w:val="20"/>
                <w:szCs w:val="20"/>
              </w:rPr>
              <w:lastRenderedPageBreak/>
              <w:t xml:space="preserve">Ходунки предназначены для детей-инвалидов, страдающих заболеваниями, при которых они сохраняют равновесие, но лишены возможности самостоятельно ходить. Ходунки должны быть изготовлены из легкого, прочного, устойчивого к коррозии материала. Ходунки должны состоять из: опорной рамы с колесами, приспособления для правильного стояния (жесткая рамка), корсета фиксирующего тело ребенка в физиологически правильном положении. Колеса ходунков должны вращаться вокруг </w:t>
            </w:r>
            <w:r w:rsidRPr="00683B17">
              <w:rPr>
                <w:sz w:val="20"/>
                <w:szCs w:val="20"/>
              </w:rPr>
              <w:t>вертикальной оси и должны быть оснащены стояночными тормозами. Ходунки должны иметь различные варианты сборки, в том числе с возможностью частичной фиксации ребенка для тренировки равновесия при стоянии и ходьбе.</w:t>
            </w:r>
            <w:r w:rsidRPr="004A2BB8">
              <w:rPr>
                <w:sz w:val="20"/>
                <w:szCs w:val="20"/>
              </w:rPr>
              <w:t xml:space="preserve"> Ходунки должны быть оснащены направляющими упорами для рук, что создает дополнительные удобства для самостоятельного использования ребенком ходунков. Подлокотники ходунков должны быть регулируемыми по высоте.</w:t>
            </w:r>
            <w:r>
              <w:rPr>
                <w:sz w:val="20"/>
                <w:szCs w:val="20"/>
              </w:rPr>
              <w:t xml:space="preserve"> </w:t>
            </w:r>
            <w:r w:rsidRPr="004A2BB8">
              <w:rPr>
                <w:sz w:val="20"/>
                <w:szCs w:val="20"/>
              </w:rPr>
              <w:t xml:space="preserve"> </w:t>
            </w:r>
            <w:r w:rsidRPr="0085279B">
              <w:rPr>
                <w:sz w:val="20"/>
                <w:szCs w:val="20"/>
              </w:rPr>
              <w:t>Не менее двух типоразмеров.</w:t>
            </w:r>
            <w:r>
              <w:rPr>
                <w:sz w:val="20"/>
                <w:szCs w:val="20"/>
              </w:rPr>
              <w:t xml:space="preserve"> Первый типоразмер</w:t>
            </w:r>
            <w:r w:rsidRPr="000E557E">
              <w:rPr>
                <w:sz w:val="20"/>
                <w:szCs w:val="20"/>
              </w:rPr>
              <w:t xml:space="preserve">: </w:t>
            </w:r>
            <w:r>
              <w:rPr>
                <w:sz w:val="20"/>
                <w:szCs w:val="20"/>
              </w:rPr>
              <w:t>д</w:t>
            </w:r>
            <w:r w:rsidRPr="004A2BB8">
              <w:rPr>
                <w:sz w:val="20"/>
                <w:szCs w:val="20"/>
              </w:rPr>
              <w:t>лина ходунков должна быть не менее 600 мм и не более 700 мм, ширина ходунков должна быть не менее 600 мм и не более 680 мм. Вес ходунков должен быть не более 14 кг.</w:t>
            </w:r>
            <w:r>
              <w:rPr>
                <w:sz w:val="20"/>
                <w:szCs w:val="20"/>
              </w:rPr>
              <w:t xml:space="preserve"> Второй типоразмер</w:t>
            </w:r>
            <w:r w:rsidRPr="000E557E">
              <w:rPr>
                <w:sz w:val="20"/>
                <w:szCs w:val="20"/>
              </w:rPr>
              <w:t xml:space="preserve">: </w:t>
            </w:r>
            <w:r>
              <w:rPr>
                <w:sz w:val="20"/>
                <w:szCs w:val="20"/>
              </w:rPr>
              <w:t xml:space="preserve">длина </w:t>
            </w:r>
            <w:r w:rsidRPr="000F63DD">
              <w:rPr>
                <w:sz w:val="20"/>
                <w:szCs w:val="20"/>
              </w:rPr>
              <w:t xml:space="preserve">ходунков должна быть не менее 900 мм и не более 1000 мм, ширина ходунков должна быть не менее 650 мм и не более 700 мм. Вес ходунков должен быть не более 20 кг. </w:t>
            </w:r>
            <w:r>
              <w:rPr>
                <w:sz w:val="20"/>
                <w:szCs w:val="20"/>
              </w:rPr>
              <w:t xml:space="preserve"> </w:t>
            </w:r>
            <w:r w:rsidRPr="004A2BB8">
              <w:rPr>
                <w:sz w:val="20"/>
                <w:szCs w:val="20"/>
              </w:rPr>
              <w:t xml:space="preserve"> Гарантийный срок ходунков на колесах должен составлять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 В комплект должны входить: ходунки, инструкция по эксплуатации на русском языке, гарантийный талон, содержащий информацию о месте расположения сервисных центров, упаковочная коробка.</w:t>
            </w:r>
          </w:p>
        </w:tc>
        <w:tc>
          <w:tcPr>
            <w:tcW w:w="1107" w:type="dxa"/>
          </w:tcPr>
          <w:p w:rsidR="00992944" w:rsidRPr="00036259" w:rsidRDefault="00992944" w:rsidP="005A14CE">
            <w:pPr>
              <w:jc w:val="center"/>
              <w:rPr>
                <w:sz w:val="20"/>
                <w:szCs w:val="20"/>
              </w:rPr>
            </w:pPr>
            <w:r>
              <w:rPr>
                <w:sz w:val="20"/>
                <w:szCs w:val="20"/>
              </w:rPr>
              <w:lastRenderedPageBreak/>
              <w:t>10</w:t>
            </w:r>
          </w:p>
        </w:tc>
        <w:tc>
          <w:tcPr>
            <w:tcW w:w="1134" w:type="dxa"/>
          </w:tcPr>
          <w:p w:rsidR="00992944" w:rsidRPr="00036259" w:rsidRDefault="00992944" w:rsidP="005A14CE">
            <w:pPr>
              <w:jc w:val="center"/>
              <w:rPr>
                <w:sz w:val="20"/>
                <w:szCs w:val="20"/>
              </w:rPr>
            </w:pPr>
            <w:r w:rsidRPr="00B02153">
              <w:rPr>
                <w:sz w:val="20"/>
                <w:szCs w:val="20"/>
              </w:rPr>
              <w:t>27 466,67</w:t>
            </w:r>
          </w:p>
        </w:tc>
        <w:tc>
          <w:tcPr>
            <w:tcW w:w="1552" w:type="dxa"/>
          </w:tcPr>
          <w:p w:rsidR="00992944" w:rsidRPr="00BD5B17" w:rsidRDefault="00992944" w:rsidP="005A14CE">
            <w:pPr>
              <w:jc w:val="center"/>
              <w:rPr>
                <w:sz w:val="20"/>
                <w:szCs w:val="20"/>
              </w:rPr>
            </w:pPr>
            <w:r w:rsidRPr="00B02153">
              <w:rPr>
                <w:sz w:val="20"/>
                <w:szCs w:val="20"/>
              </w:rPr>
              <w:t>274 666,70</w:t>
            </w:r>
          </w:p>
          <w:p w:rsidR="00992944" w:rsidRPr="00036259" w:rsidRDefault="00992944" w:rsidP="005A14CE">
            <w:pPr>
              <w:jc w:val="center"/>
              <w:rPr>
                <w:sz w:val="20"/>
                <w:szCs w:val="20"/>
              </w:rPr>
            </w:pPr>
          </w:p>
        </w:tc>
      </w:tr>
      <w:tr w:rsidR="00992944" w:rsidRPr="00036259" w:rsidTr="005A14CE">
        <w:trPr>
          <w:jc w:val="center"/>
        </w:trPr>
        <w:tc>
          <w:tcPr>
            <w:tcW w:w="545" w:type="dxa"/>
          </w:tcPr>
          <w:p w:rsidR="00992944" w:rsidRPr="00036259" w:rsidRDefault="00992944" w:rsidP="005A14CE">
            <w:pPr>
              <w:jc w:val="center"/>
              <w:rPr>
                <w:sz w:val="20"/>
                <w:szCs w:val="20"/>
              </w:rPr>
            </w:pPr>
            <w:r>
              <w:rPr>
                <w:sz w:val="20"/>
                <w:szCs w:val="20"/>
              </w:rPr>
              <w:lastRenderedPageBreak/>
              <w:t>2</w:t>
            </w:r>
          </w:p>
        </w:tc>
        <w:tc>
          <w:tcPr>
            <w:tcW w:w="1005" w:type="dxa"/>
          </w:tcPr>
          <w:p w:rsidR="00992944" w:rsidRPr="00036259" w:rsidRDefault="00992944" w:rsidP="005A14CE">
            <w:pPr>
              <w:jc w:val="center"/>
              <w:rPr>
                <w:sz w:val="20"/>
                <w:szCs w:val="20"/>
              </w:rPr>
            </w:pPr>
            <w:r w:rsidRPr="000677B9">
              <w:rPr>
                <w:sz w:val="20"/>
                <w:szCs w:val="20"/>
              </w:rPr>
              <w:t>32.50.22.129/отсутствует</w:t>
            </w:r>
          </w:p>
        </w:tc>
        <w:tc>
          <w:tcPr>
            <w:tcW w:w="1405" w:type="dxa"/>
          </w:tcPr>
          <w:p w:rsidR="00992944" w:rsidRPr="00036259" w:rsidRDefault="00992944" w:rsidP="005A14CE">
            <w:pPr>
              <w:jc w:val="center"/>
              <w:rPr>
                <w:sz w:val="20"/>
                <w:szCs w:val="20"/>
              </w:rPr>
            </w:pPr>
            <w:r>
              <w:rPr>
                <w:sz w:val="20"/>
                <w:szCs w:val="20"/>
              </w:rPr>
              <w:t>-</w:t>
            </w:r>
          </w:p>
        </w:tc>
        <w:tc>
          <w:tcPr>
            <w:tcW w:w="1788" w:type="dxa"/>
          </w:tcPr>
          <w:p w:rsidR="00992944" w:rsidRPr="000677B9" w:rsidRDefault="00992944" w:rsidP="005A14CE">
            <w:pPr>
              <w:jc w:val="center"/>
              <w:rPr>
                <w:sz w:val="20"/>
                <w:szCs w:val="20"/>
              </w:rPr>
            </w:pPr>
            <w:r w:rsidRPr="000677B9">
              <w:rPr>
                <w:sz w:val="20"/>
                <w:szCs w:val="20"/>
              </w:rPr>
              <w:t>6-10-06</w:t>
            </w:r>
          </w:p>
          <w:p w:rsidR="00992944" w:rsidRPr="00036259" w:rsidRDefault="00992944" w:rsidP="005A14CE">
            <w:pPr>
              <w:jc w:val="center"/>
              <w:rPr>
                <w:sz w:val="20"/>
                <w:szCs w:val="20"/>
              </w:rPr>
            </w:pPr>
            <w:r w:rsidRPr="000677B9">
              <w:rPr>
                <w:sz w:val="20"/>
                <w:szCs w:val="20"/>
              </w:rPr>
              <w:br w:type="page"/>
              <w:t xml:space="preserve">Ходунки с дополнительной фиксацией (поддержкой) тела, в том числе для больных </w:t>
            </w:r>
            <w:r w:rsidRPr="000677B9">
              <w:rPr>
                <w:sz w:val="20"/>
                <w:szCs w:val="20"/>
              </w:rPr>
              <w:lastRenderedPageBreak/>
              <w:t>детским церебральным параличом (ДЦП)</w:t>
            </w:r>
          </w:p>
        </w:tc>
        <w:tc>
          <w:tcPr>
            <w:tcW w:w="5279" w:type="dxa"/>
          </w:tcPr>
          <w:p w:rsidR="00992944" w:rsidRPr="00032672" w:rsidRDefault="00992944" w:rsidP="005A14CE">
            <w:pPr>
              <w:jc w:val="both"/>
              <w:rPr>
                <w:sz w:val="20"/>
                <w:szCs w:val="20"/>
              </w:rPr>
            </w:pPr>
            <w:r w:rsidRPr="00032672">
              <w:rPr>
                <w:sz w:val="20"/>
                <w:szCs w:val="20"/>
              </w:rPr>
              <w:lastRenderedPageBreak/>
              <w:t>Ходунки с дополнительной фиксацией (поддержкой) тела, в том числе для больных детским церебральным параличом (ДЦП)</w:t>
            </w:r>
            <w:r>
              <w:rPr>
                <w:sz w:val="20"/>
                <w:szCs w:val="20"/>
              </w:rPr>
              <w:t>.</w:t>
            </w:r>
          </w:p>
          <w:p w:rsidR="00992944" w:rsidRPr="00036259" w:rsidRDefault="00992944" w:rsidP="005A14CE">
            <w:pPr>
              <w:jc w:val="both"/>
              <w:rPr>
                <w:sz w:val="20"/>
                <w:szCs w:val="20"/>
              </w:rPr>
            </w:pPr>
            <w:r w:rsidRPr="0085279B">
              <w:rPr>
                <w:sz w:val="20"/>
                <w:szCs w:val="20"/>
              </w:rPr>
              <w:t xml:space="preserve">Ходунки предназначены для детей-инвалидов, страдающих заболеваниями, при которых они сохраняют равновесие, но лишены возможности самостоятельно ходить. Ходунки изготовлены из легкого, </w:t>
            </w:r>
            <w:r w:rsidRPr="0085279B">
              <w:rPr>
                <w:sz w:val="20"/>
                <w:szCs w:val="20"/>
              </w:rPr>
              <w:lastRenderedPageBreak/>
              <w:t>прочного, устойчивого к коррозии материала. Ходунки состоят из: регулируемой опорной рамы с колесами, приспособления для правильного стояния (жесткая</w:t>
            </w:r>
            <w:r w:rsidRPr="007D40CD">
              <w:rPr>
                <w:sz w:val="20"/>
                <w:szCs w:val="20"/>
              </w:rPr>
              <w:t xml:space="preserve"> рамка), корсета фиксирующего тело ребенка в физиологически правильном положении.</w:t>
            </w:r>
            <w:r>
              <w:rPr>
                <w:sz w:val="20"/>
                <w:szCs w:val="20"/>
              </w:rPr>
              <w:t xml:space="preserve"> Передние </w:t>
            </w:r>
            <w:r w:rsidR="00C72BB3">
              <w:rPr>
                <w:sz w:val="20"/>
                <w:szCs w:val="20"/>
              </w:rPr>
              <w:t xml:space="preserve">колеса должны быть </w:t>
            </w:r>
            <w:proofErr w:type="gramStart"/>
            <w:r w:rsidR="00C72BB3">
              <w:rPr>
                <w:sz w:val="20"/>
                <w:szCs w:val="20"/>
              </w:rPr>
              <w:t xml:space="preserve">с поворотным </w:t>
            </w:r>
            <w:r>
              <w:rPr>
                <w:sz w:val="20"/>
                <w:szCs w:val="20"/>
              </w:rPr>
              <w:t>механизмом</w:t>
            </w:r>
            <w:proofErr w:type="gramEnd"/>
            <w:r>
              <w:rPr>
                <w:sz w:val="20"/>
                <w:szCs w:val="20"/>
              </w:rPr>
              <w:t xml:space="preserve"> позволяющим передвигать ходунки прямо и в сторону, задние колеса должны быть оснащены храповым механизмом.</w:t>
            </w:r>
            <w:r w:rsidRPr="007D40CD">
              <w:rPr>
                <w:sz w:val="20"/>
                <w:szCs w:val="20"/>
              </w:rPr>
              <w:t xml:space="preserve"> </w:t>
            </w:r>
            <w:r>
              <w:rPr>
                <w:sz w:val="20"/>
                <w:szCs w:val="20"/>
              </w:rPr>
              <w:t xml:space="preserve">Не менее двух типоразмеров. </w:t>
            </w:r>
            <w:r w:rsidRPr="007D40CD">
              <w:rPr>
                <w:sz w:val="20"/>
                <w:szCs w:val="20"/>
              </w:rPr>
              <w:t>Гарантийный срок ходунков на колесах должен составлять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 В комплект поставки входит: ходунки, инст</w:t>
            </w:r>
            <w:bookmarkStart w:id="0" w:name="_GoBack"/>
            <w:bookmarkEnd w:id="0"/>
            <w:r w:rsidRPr="007D40CD">
              <w:rPr>
                <w:sz w:val="20"/>
                <w:szCs w:val="20"/>
              </w:rPr>
              <w:t>рукция по эксплуатации на русском языке, гарантийный талон, содержащий информацию о месте расположения сервисных центров, упаковочная коробка.</w:t>
            </w:r>
          </w:p>
        </w:tc>
        <w:tc>
          <w:tcPr>
            <w:tcW w:w="1107" w:type="dxa"/>
          </w:tcPr>
          <w:p w:rsidR="00992944" w:rsidRPr="00036259" w:rsidRDefault="00992944" w:rsidP="005A14CE">
            <w:pPr>
              <w:jc w:val="center"/>
              <w:rPr>
                <w:sz w:val="20"/>
                <w:szCs w:val="20"/>
              </w:rPr>
            </w:pPr>
            <w:r>
              <w:rPr>
                <w:sz w:val="20"/>
                <w:szCs w:val="20"/>
              </w:rPr>
              <w:lastRenderedPageBreak/>
              <w:t>40</w:t>
            </w:r>
          </w:p>
        </w:tc>
        <w:tc>
          <w:tcPr>
            <w:tcW w:w="1134" w:type="dxa"/>
          </w:tcPr>
          <w:p w:rsidR="00992944" w:rsidRPr="00036259" w:rsidRDefault="00992944" w:rsidP="005A14CE">
            <w:pPr>
              <w:jc w:val="center"/>
              <w:rPr>
                <w:sz w:val="20"/>
                <w:szCs w:val="20"/>
              </w:rPr>
            </w:pPr>
            <w:r w:rsidRPr="00B02153">
              <w:rPr>
                <w:sz w:val="20"/>
                <w:szCs w:val="20"/>
              </w:rPr>
              <w:t>25 500,00</w:t>
            </w:r>
          </w:p>
        </w:tc>
        <w:tc>
          <w:tcPr>
            <w:tcW w:w="1552" w:type="dxa"/>
          </w:tcPr>
          <w:p w:rsidR="00992944" w:rsidRPr="00036259" w:rsidRDefault="00992944" w:rsidP="005A14CE">
            <w:pPr>
              <w:jc w:val="center"/>
              <w:rPr>
                <w:sz w:val="20"/>
                <w:szCs w:val="20"/>
              </w:rPr>
            </w:pPr>
            <w:r w:rsidRPr="00B02153">
              <w:rPr>
                <w:sz w:val="20"/>
                <w:szCs w:val="20"/>
              </w:rPr>
              <w:t>1 020 000,00</w:t>
            </w:r>
          </w:p>
        </w:tc>
      </w:tr>
      <w:tr w:rsidR="00992944" w:rsidRPr="00036259" w:rsidTr="005A14CE">
        <w:trPr>
          <w:jc w:val="center"/>
        </w:trPr>
        <w:tc>
          <w:tcPr>
            <w:tcW w:w="545" w:type="dxa"/>
          </w:tcPr>
          <w:p w:rsidR="00992944" w:rsidRDefault="00992944" w:rsidP="005A14CE">
            <w:pPr>
              <w:jc w:val="center"/>
              <w:rPr>
                <w:sz w:val="20"/>
                <w:szCs w:val="20"/>
              </w:rPr>
            </w:pPr>
            <w:r>
              <w:rPr>
                <w:sz w:val="20"/>
                <w:szCs w:val="20"/>
              </w:rPr>
              <w:lastRenderedPageBreak/>
              <w:t>3</w:t>
            </w:r>
          </w:p>
        </w:tc>
        <w:tc>
          <w:tcPr>
            <w:tcW w:w="1005" w:type="dxa"/>
          </w:tcPr>
          <w:p w:rsidR="00992944" w:rsidRPr="00036259" w:rsidRDefault="00992944" w:rsidP="005A14CE">
            <w:pPr>
              <w:jc w:val="center"/>
              <w:rPr>
                <w:sz w:val="20"/>
                <w:szCs w:val="20"/>
              </w:rPr>
            </w:pPr>
            <w:r w:rsidRPr="000677B9">
              <w:rPr>
                <w:sz w:val="20"/>
                <w:szCs w:val="20"/>
              </w:rPr>
              <w:t>32.50.22.129/отсутствует</w:t>
            </w:r>
          </w:p>
        </w:tc>
        <w:tc>
          <w:tcPr>
            <w:tcW w:w="1405" w:type="dxa"/>
          </w:tcPr>
          <w:p w:rsidR="00992944" w:rsidRPr="00036259" w:rsidRDefault="00992944" w:rsidP="005A14CE">
            <w:pPr>
              <w:jc w:val="center"/>
              <w:rPr>
                <w:sz w:val="20"/>
                <w:szCs w:val="20"/>
              </w:rPr>
            </w:pPr>
            <w:r>
              <w:rPr>
                <w:sz w:val="20"/>
                <w:szCs w:val="20"/>
              </w:rPr>
              <w:t>-</w:t>
            </w:r>
          </w:p>
        </w:tc>
        <w:tc>
          <w:tcPr>
            <w:tcW w:w="1788" w:type="dxa"/>
          </w:tcPr>
          <w:p w:rsidR="00992944" w:rsidRPr="000677B9" w:rsidRDefault="00992944" w:rsidP="005A14CE">
            <w:pPr>
              <w:jc w:val="center"/>
              <w:rPr>
                <w:sz w:val="20"/>
                <w:szCs w:val="20"/>
              </w:rPr>
            </w:pPr>
            <w:r w:rsidRPr="000677B9">
              <w:rPr>
                <w:sz w:val="20"/>
                <w:szCs w:val="20"/>
              </w:rPr>
              <w:t>6-10-06</w:t>
            </w:r>
          </w:p>
          <w:p w:rsidR="00992944" w:rsidRPr="00036259" w:rsidRDefault="00992944" w:rsidP="005A14CE">
            <w:pPr>
              <w:jc w:val="center"/>
              <w:rPr>
                <w:sz w:val="20"/>
                <w:szCs w:val="20"/>
              </w:rPr>
            </w:pPr>
            <w:r w:rsidRPr="000677B9">
              <w:rPr>
                <w:sz w:val="20"/>
                <w:szCs w:val="20"/>
              </w:rPr>
              <w:br w:type="page"/>
              <w:t>Ходунки с дополнительной фиксацией (поддержкой) тела, в том числе для больных детским церебральным параличом (ДЦП)</w:t>
            </w:r>
          </w:p>
        </w:tc>
        <w:tc>
          <w:tcPr>
            <w:tcW w:w="5279" w:type="dxa"/>
          </w:tcPr>
          <w:p w:rsidR="00992944" w:rsidRPr="00032672" w:rsidRDefault="00FB6F1A" w:rsidP="005A14CE">
            <w:pPr>
              <w:jc w:val="both"/>
              <w:rPr>
                <w:sz w:val="20"/>
                <w:szCs w:val="20"/>
              </w:rPr>
            </w:pPr>
            <w:r>
              <w:rPr>
                <w:sz w:val="20"/>
                <w:szCs w:val="20"/>
              </w:rPr>
              <w:t>Х</w:t>
            </w:r>
            <w:r w:rsidR="00992944" w:rsidRPr="00032672">
              <w:rPr>
                <w:sz w:val="20"/>
                <w:szCs w:val="20"/>
              </w:rPr>
              <w:t>одунки с дополнительной фиксацией (поддержкой) тела, в том числе для больных детским церебральным параличом (ДЦП)</w:t>
            </w:r>
            <w:r w:rsidR="00992944">
              <w:rPr>
                <w:sz w:val="20"/>
                <w:szCs w:val="20"/>
              </w:rPr>
              <w:t>.</w:t>
            </w:r>
          </w:p>
          <w:p w:rsidR="00992944" w:rsidRPr="00036259" w:rsidRDefault="00992944" w:rsidP="005A14CE">
            <w:pPr>
              <w:jc w:val="both"/>
              <w:rPr>
                <w:sz w:val="20"/>
                <w:szCs w:val="20"/>
              </w:rPr>
            </w:pPr>
            <w:r w:rsidRPr="0085279B">
              <w:rPr>
                <w:sz w:val="20"/>
                <w:szCs w:val="20"/>
              </w:rPr>
              <w:t xml:space="preserve">Ходунки предназначены для детей-инвалидов, страдающих заболеваниями, при которых они сохраняют равновесие, но лишены возможности самостоятельно ходить. </w:t>
            </w:r>
            <w:r w:rsidRPr="007D40CD">
              <w:rPr>
                <w:sz w:val="20"/>
                <w:szCs w:val="20"/>
              </w:rPr>
              <w:t xml:space="preserve">Ходунки </w:t>
            </w:r>
            <w:r w:rsidRPr="0085279B">
              <w:rPr>
                <w:sz w:val="20"/>
                <w:szCs w:val="20"/>
              </w:rPr>
              <w:t>на колесах</w:t>
            </w:r>
            <w:r>
              <w:rPr>
                <w:sz w:val="20"/>
                <w:szCs w:val="20"/>
              </w:rPr>
              <w:t xml:space="preserve"> должны иметь рабочие тормоза.</w:t>
            </w:r>
            <w:r w:rsidRPr="0085279B">
              <w:rPr>
                <w:sz w:val="20"/>
                <w:szCs w:val="20"/>
              </w:rPr>
              <w:t xml:space="preserve"> Ходунки изготовлены из легкого, прочного, устойчивого к коррозии материала. Ходунки состоят из: регулируемой опорной рамы с колесами, приспособления для правильного стояния (жесткая</w:t>
            </w:r>
            <w:r w:rsidRPr="007D40CD">
              <w:rPr>
                <w:sz w:val="20"/>
                <w:szCs w:val="20"/>
              </w:rPr>
              <w:t xml:space="preserve"> рамка), корсета фиксирующего тело ребенка в физиологически правильном положении. Ходунки оснащены направляющими упорами для рук, что создает дополнительные удобства для самостоятельного использования ребенком ходунков. Подлокотники ходунков, регулируемые по высоте. </w:t>
            </w:r>
            <w:r>
              <w:rPr>
                <w:sz w:val="20"/>
                <w:szCs w:val="20"/>
              </w:rPr>
              <w:t xml:space="preserve">Не менее двух типоразмеров. </w:t>
            </w:r>
            <w:r w:rsidRPr="007D40CD">
              <w:rPr>
                <w:sz w:val="20"/>
                <w:szCs w:val="20"/>
              </w:rPr>
              <w:t xml:space="preserve">Гарантийный срок ходунков на колесах должен составлять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 В комплект поставки входит: ходунки, инструкция по эксплуатации на русском языке, гарантийный талон, содержащий информацию о месте расположения сервисных центров, упаковочная </w:t>
            </w:r>
            <w:r w:rsidRPr="007D40CD">
              <w:rPr>
                <w:sz w:val="20"/>
                <w:szCs w:val="20"/>
              </w:rPr>
              <w:lastRenderedPageBreak/>
              <w:t>коробка.</w:t>
            </w:r>
          </w:p>
        </w:tc>
        <w:tc>
          <w:tcPr>
            <w:tcW w:w="1107" w:type="dxa"/>
          </w:tcPr>
          <w:p w:rsidR="00992944" w:rsidRPr="00036259" w:rsidRDefault="00992944" w:rsidP="005A14CE">
            <w:pPr>
              <w:jc w:val="center"/>
              <w:rPr>
                <w:sz w:val="20"/>
                <w:szCs w:val="20"/>
              </w:rPr>
            </w:pPr>
            <w:r>
              <w:rPr>
                <w:sz w:val="20"/>
                <w:szCs w:val="20"/>
              </w:rPr>
              <w:lastRenderedPageBreak/>
              <w:t>20</w:t>
            </w:r>
          </w:p>
        </w:tc>
        <w:tc>
          <w:tcPr>
            <w:tcW w:w="1134" w:type="dxa"/>
          </w:tcPr>
          <w:p w:rsidR="00992944" w:rsidRPr="00BB24E4" w:rsidRDefault="00992944" w:rsidP="005A14CE">
            <w:pPr>
              <w:jc w:val="center"/>
              <w:rPr>
                <w:sz w:val="20"/>
                <w:szCs w:val="20"/>
              </w:rPr>
            </w:pPr>
            <w:r w:rsidRPr="00B02153">
              <w:rPr>
                <w:sz w:val="20"/>
                <w:szCs w:val="20"/>
              </w:rPr>
              <w:t>30 833,33</w:t>
            </w:r>
          </w:p>
        </w:tc>
        <w:tc>
          <w:tcPr>
            <w:tcW w:w="1552" w:type="dxa"/>
          </w:tcPr>
          <w:p w:rsidR="00992944" w:rsidRPr="00BB24E4" w:rsidRDefault="00992944" w:rsidP="005A14CE">
            <w:pPr>
              <w:jc w:val="center"/>
              <w:rPr>
                <w:sz w:val="20"/>
                <w:szCs w:val="20"/>
              </w:rPr>
            </w:pPr>
            <w:r w:rsidRPr="00B02153">
              <w:rPr>
                <w:sz w:val="20"/>
                <w:szCs w:val="20"/>
              </w:rPr>
              <w:t>616 666,60</w:t>
            </w:r>
          </w:p>
        </w:tc>
      </w:tr>
      <w:tr w:rsidR="00992944" w:rsidRPr="00036259" w:rsidTr="005A14CE">
        <w:trPr>
          <w:jc w:val="center"/>
        </w:trPr>
        <w:tc>
          <w:tcPr>
            <w:tcW w:w="10022" w:type="dxa"/>
            <w:gridSpan w:val="5"/>
          </w:tcPr>
          <w:p w:rsidR="00992944" w:rsidRPr="00341677" w:rsidRDefault="00992944" w:rsidP="005A14CE">
            <w:pPr>
              <w:jc w:val="right"/>
              <w:rPr>
                <w:b/>
              </w:rPr>
            </w:pPr>
            <w:r w:rsidRPr="00341677">
              <w:rPr>
                <w:b/>
              </w:rPr>
              <w:lastRenderedPageBreak/>
              <w:t>Итого:</w:t>
            </w:r>
          </w:p>
        </w:tc>
        <w:tc>
          <w:tcPr>
            <w:tcW w:w="1107" w:type="dxa"/>
          </w:tcPr>
          <w:p w:rsidR="00992944" w:rsidRPr="00341677" w:rsidRDefault="00992944" w:rsidP="005A14CE">
            <w:pPr>
              <w:jc w:val="center"/>
              <w:rPr>
                <w:b/>
              </w:rPr>
            </w:pPr>
            <w:r>
              <w:rPr>
                <w:b/>
              </w:rPr>
              <w:t>7</w:t>
            </w:r>
            <w:r w:rsidRPr="00341677">
              <w:rPr>
                <w:b/>
              </w:rPr>
              <w:t>0</w:t>
            </w:r>
          </w:p>
        </w:tc>
        <w:tc>
          <w:tcPr>
            <w:tcW w:w="1134" w:type="dxa"/>
          </w:tcPr>
          <w:p w:rsidR="00992944" w:rsidRPr="00341677" w:rsidRDefault="00992944" w:rsidP="005A14CE">
            <w:pPr>
              <w:jc w:val="center"/>
              <w:rPr>
                <w:b/>
              </w:rPr>
            </w:pPr>
            <w:r w:rsidRPr="00341677">
              <w:rPr>
                <w:b/>
              </w:rPr>
              <w:t>х</w:t>
            </w:r>
          </w:p>
        </w:tc>
        <w:tc>
          <w:tcPr>
            <w:tcW w:w="1552" w:type="dxa"/>
          </w:tcPr>
          <w:p w:rsidR="00992944" w:rsidRPr="00BD5B17" w:rsidRDefault="00992944" w:rsidP="005A14CE">
            <w:pPr>
              <w:jc w:val="center"/>
              <w:rPr>
                <w:b/>
                <w:bCs/>
              </w:rPr>
            </w:pPr>
            <w:r w:rsidRPr="00B02153">
              <w:rPr>
                <w:b/>
                <w:bCs/>
              </w:rPr>
              <w:t>1 911 333,30</w:t>
            </w:r>
          </w:p>
        </w:tc>
      </w:tr>
    </w:tbl>
    <w:p w:rsidR="00992944" w:rsidRDefault="00992944" w:rsidP="00992944">
      <w:pPr>
        <w:contextualSpacing/>
        <w:jc w:val="both"/>
        <w:rPr>
          <w:color w:val="000000"/>
          <w:szCs w:val="22"/>
          <w:u w:val="single"/>
        </w:rPr>
      </w:pPr>
    </w:p>
    <w:p w:rsidR="00992944" w:rsidRDefault="00992944" w:rsidP="00992944">
      <w:pPr>
        <w:contextualSpacing/>
        <w:jc w:val="both"/>
        <w:rPr>
          <w:color w:val="000000"/>
          <w:szCs w:val="22"/>
          <w:u w:val="single"/>
        </w:rPr>
      </w:pPr>
    </w:p>
    <w:p w:rsidR="00992944" w:rsidRDefault="00992944" w:rsidP="00992944">
      <w:pPr>
        <w:jc w:val="both"/>
      </w:pPr>
    </w:p>
    <w:p w:rsidR="00992944" w:rsidRPr="00AF6156" w:rsidRDefault="00992944" w:rsidP="00992944">
      <w:pPr>
        <w:jc w:val="both"/>
      </w:pPr>
      <w:r w:rsidRPr="00AF6156">
        <w:t>Указание дополнительной информации обусловлено необходимостью закупки товара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 февраля 2018 года №86н.</w:t>
      </w:r>
    </w:p>
    <w:p w:rsidR="00992944" w:rsidRPr="00AF6156" w:rsidRDefault="00992944" w:rsidP="00992944">
      <w:pPr>
        <w:jc w:val="both"/>
      </w:pPr>
    </w:p>
    <w:p w:rsidR="00992944" w:rsidRDefault="00992944" w:rsidP="00992944">
      <w:pPr>
        <w:keepNext/>
        <w:keepLines/>
        <w:widowControl w:val="0"/>
        <w:tabs>
          <w:tab w:val="left" w:pos="513"/>
        </w:tabs>
        <w:jc w:val="center"/>
        <w:outlineLvl w:val="3"/>
        <w:rPr>
          <w:b/>
          <w:bCs/>
          <w:lang w:eastAsia="en-US"/>
        </w:rPr>
        <w:sectPr w:rsidR="00992944" w:rsidSect="004F3D4F">
          <w:pgSz w:w="16838" w:h="11906" w:orient="landscape" w:code="9"/>
          <w:pgMar w:top="1080" w:right="1418" w:bottom="1134" w:left="851" w:header="709" w:footer="709" w:gutter="0"/>
          <w:cols w:space="708"/>
          <w:titlePg/>
          <w:docGrid w:linePitch="360"/>
        </w:sectPr>
      </w:pPr>
    </w:p>
    <w:p w:rsidR="00992944" w:rsidRPr="00782312" w:rsidRDefault="00992944" w:rsidP="00992944">
      <w:pPr>
        <w:keepNext/>
        <w:keepLines/>
        <w:widowControl w:val="0"/>
        <w:tabs>
          <w:tab w:val="left" w:pos="513"/>
        </w:tabs>
        <w:jc w:val="center"/>
        <w:outlineLvl w:val="3"/>
        <w:rPr>
          <w:b/>
          <w:bCs/>
          <w:lang w:eastAsia="en-US"/>
        </w:rPr>
      </w:pPr>
    </w:p>
    <w:p w:rsidR="00992944" w:rsidRDefault="00992944" w:rsidP="00992944">
      <w:pPr>
        <w:numPr>
          <w:ilvl w:val="0"/>
          <w:numId w:val="7"/>
        </w:numPr>
        <w:ind w:left="0" w:firstLine="567"/>
        <w:jc w:val="both"/>
        <w:rPr>
          <w:u w:val="single"/>
        </w:rPr>
      </w:pPr>
      <w:r w:rsidRPr="00A44F3F">
        <w:rPr>
          <w:u w:val="single"/>
        </w:rPr>
        <w:t>Требования, предъявляемые к качеству, безопасности, маркировке и транспортированию Товара:</w:t>
      </w:r>
    </w:p>
    <w:p w:rsidR="00992944" w:rsidRDefault="00992944" w:rsidP="00992944">
      <w:pPr>
        <w:ind w:left="360"/>
        <w:rPr>
          <w:u w:val="single"/>
        </w:rPr>
      </w:pPr>
    </w:p>
    <w:p w:rsidR="00992944" w:rsidRDefault="00992944" w:rsidP="00992944">
      <w:pPr>
        <w:ind w:firstLine="567"/>
        <w:jc w:val="both"/>
      </w:pPr>
      <w:r>
        <w:t>Технические средства реабилитации (ходунки) (далее – Товар) должны иметь действующие регистрационные удостоверения, выданные Федеральной службой по надзору в сфере здравоохранения.</w:t>
      </w:r>
    </w:p>
    <w:p w:rsidR="00992944" w:rsidRDefault="00992944" w:rsidP="00992944">
      <w:pPr>
        <w:ind w:firstLine="567"/>
        <w:jc w:val="both"/>
      </w:pPr>
      <w:r>
        <w:t>Сырье и материалы, применяемые для изготовления Товара, 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rsidR="00992944" w:rsidRDefault="00992944" w:rsidP="00992944">
      <w:pPr>
        <w:ind w:firstLine="567"/>
        <w:jc w:val="both"/>
      </w:pPr>
      <w:r>
        <w:t xml:space="preserve">Поверхности всех деталей Товара не должны иметь заусенцев, </w:t>
      </w:r>
      <w:proofErr w:type="spellStart"/>
      <w:r>
        <w:t>задиров</w:t>
      </w:r>
      <w:proofErr w:type="spellEnd"/>
      <w:r>
        <w:t xml:space="preserve">, острых кромок или выступов, могущих повредить одежду или причинить дискомфорт инвалиду. Лакокрасочное покрытие должно быть ровным, без пузырей и отслаиваний. На окрашенных поверхностях не должно быть трещин, пятен, морщин, наплывов, </w:t>
      </w:r>
      <w:proofErr w:type="spellStart"/>
      <w:r>
        <w:t>непрокрашенных</w:t>
      </w:r>
      <w:proofErr w:type="spellEnd"/>
      <w:r>
        <w:t xml:space="preserve"> участков.</w:t>
      </w:r>
    </w:p>
    <w:p w:rsidR="00992944" w:rsidRDefault="00992944" w:rsidP="00992944">
      <w:pPr>
        <w:ind w:firstLine="567"/>
        <w:jc w:val="both"/>
      </w:pPr>
      <w:r>
        <w:t>Металлические части Товара должны быть изготовлены из коррозийно-стойких материалов или защищены от коррозии защитными или защитно-декоративными покрытиями.</w:t>
      </w:r>
    </w:p>
    <w:p w:rsidR="00992944" w:rsidRDefault="00992944" w:rsidP="00992944">
      <w:pPr>
        <w:ind w:firstLine="567"/>
        <w:jc w:val="both"/>
      </w:pPr>
      <w:r>
        <w:t>Маркировка, упаковка, транспортирование и хранение Товара должны соответствовать требованиям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w:t>
      </w:r>
    </w:p>
    <w:p w:rsidR="00992944" w:rsidRDefault="00992944" w:rsidP="00992944">
      <w:pPr>
        <w:ind w:firstLine="567"/>
        <w:jc w:val="both"/>
      </w:pPr>
      <w:r>
        <w:t>Транспортирование Товара должно осуществляться любым видом крытого транспорта в соответствии с правилами перевозки грузов, действующими на данном виде транспорта.</w:t>
      </w:r>
    </w:p>
    <w:p w:rsidR="00992944" w:rsidRPr="00A44F3F" w:rsidRDefault="00992944" w:rsidP="00992944">
      <w:pPr>
        <w:ind w:firstLine="567"/>
        <w:jc w:val="both"/>
        <w:rPr>
          <w:u w:val="single"/>
        </w:rPr>
      </w:pPr>
    </w:p>
    <w:p w:rsidR="00992944" w:rsidRDefault="00992944" w:rsidP="00992944">
      <w:pPr>
        <w:widowControl w:val="0"/>
        <w:numPr>
          <w:ilvl w:val="0"/>
          <w:numId w:val="7"/>
        </w:numPr>
        <w:autoSpaceDE w:val="0"/>
        <w:autoSpaceDN w:val="0"/>
        <w:adjustRightInd w:val="0"/>
        <w:ind w:left="0" w:firstLine="567"/>
        <w:jc w:val="both"/>
        <w:rPr>
          <w:u w:val="single"/>
        </w:rPr>
      </w:pPr>
      <w:r w:rsidRPr="00A44F3F">
        <w:rPr>
          <w:u w:val="single"/>
        </w:rPr>
        <w:t>Основные условия исполнения контракта, в том числе требования к порядку поставки Товара:</w:t>
      </w:r>
    </w:p>
    <w:p w:rsidR="00992944" w:rsidRPr="00A44F3F" w:rsidRDefault="00992944" w:rsidP="00992944">
      <w:pPr>
        <w:widowControl w:val="0"/>
        <w:autoSpaceDE w:val="0"/>
        <w:autoSpaceDN w:val="0"/>
        <w:adjustRightInd w:val="0"/>
        <w:ind w:left="360"/>
        <w:rPr>
          <w:u w:val="single"/>
        </w:rPr>
      </w:pPr>
    </w:p>
    <w:p w:rsidR="00992944" w:rsidRDefault="00992944" w:rsidP="00992944">
      <w:pPr>
        <w:suppressAutoHyphens/>
        <w:ind w:firstLine="567"/>
        <w:jc w:val="both"/>
        <w:rPr>
          <w:lang w:eastAsia="ar-SA"/>
        </w:rPr>
      </w:pPr>
      <w:r>
        <w:rPr>
          <w:lang w:eastAsia="ar-SA"/>
        </w:rPr>
        <w:t>Поставщик обязан:</w:t>
      </w:r>
    </w:p>
    <w:p w:rsidR="00992944" w:rsidRDefault="00992944" w:rsidP="00992944">
      <w:pPr>
        <w:suppressAutoHyphens/>
        <w:ind w:firstLine="567"/>
        <w:jc w:val="both"/>
        <w:rPr>
          <w:lang w:eastAsia="ar-SA"/>
        </w:rPr>
      </w:pPr>
      <w:r>
        <w:rPr>
          <w:lang w:eastAsia="ar-SA"/>
        </w:rPr>
        <w:t>1. Обеспечить поступление Товара в г. Санкт-Петербург и Ленинградскую область по наименованию, в количестве и в сроки, определенные календарным планом.</w:t>
      </w:r>
    </w:p>
    <w:p w:rsidR="00992944" w:rsidRDefault="00992944" w:rsidP="00992944">
      <w:pPr>
        <w:suppressAutoHyphens/>
        <w:ind w:firstLine="567"/>
        <w:jc w:val="both"/>
        <w:rPr>
          <w:lang w:eastAsia="ar-SA"/>
        </w:rPr>
      </w:pPr>
      <w:r>
        <w:rPr>
          <w:lang w:eastAsia="ar-SA"/>
        </w:rPr>
        <w:t>2. Проинформировать Заказчика посредством телефонной связи, факсимильной связи или посредством электронной почты о поступлении Товара в</w:t>
      </w:r>
      <w:r>
        <w:t xml:space="preserve"> </w:t>
      </w:r>
      <w:r>
        <w:rPr>
          <w:lang w:eastAsia="ar-SA"/>
        </w:rPr>
        <w:t>г. Санкт-Петербург и Ленинградскую область, для проведения Заказчиком выборочной проверки поставляемого Товара. По требованию Заказчика обеспечить беспрепятственный доступ к Товару для подтверждения факта наличия Товара на складе Поставщика.</w:t>
      </w:r>
    </w:p>
    <w:p w:rsidR="00992944" w:rsidRDefault="00992944" w:rsidP="00992944">
      <w:pPr>
        <w:suppressAutoHyphens/>
        <w:ind w:firstLine="567"/>
        <w:jc w:val="both"/>
        <w:rPr>
          <w:lang w:eastAsia="ar-SA"/>
        </w:rPr>
      </w:pPr>
      <w:r>
        <w:rPr>
          <w:lang w:eastAsia="ar-SA"/>
        </w:rPr>
        <w:t>3. Поставить Товар в упаковке, защищающей от механических повреждений и воздействия внешней среды,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w:t>
      </w:r>
    </w:p>
    <w:p w:rsidR="00992944" w:rsidRPr="009C0FEF" w:rsidRDefault="00992944" w:rsidP="00992944">
      <w:pPr>
        <w:pStyle w:val="ConsPlusNormal"/>
        <w:ind w:firstLine="567"/>
        <w:jc w:val="both"/>
        <w:rPr>
          <w:rFonts w:ascii="Times New Roman" w:hAnsi="Times New Roman" w:cs="Times New Roman"/>
          <w:sz w:val="24"/>
          <w:szCs w:val="24"/>
        </w:rPr>
      </w:pPr>
      <w:r w:rsidRPr="009C0FEF">
        <w:rPr>
          <w:rFonts w:ascii="Times New Roman" w:hAnsi="Times New Roman" w:cs="Times New Roman"/>
          <w:sz w:val="24"/>
          <w:szCs w:val="24"/>
          <w:lang w:eastAsia="ar-SA"/>
        </w:rPr>
        <w:t>4.</w:t>
      </w:r>
      <w:r>
        <w:rPr>
          <w:lang w:eastAsia="ar-SA"/>
        </w:rPr>
        <w:t xml:space="preserve"> </w:t>
      </w:r>
      <w:r w:rsidRPr="009C0FEF">
        <w:rPr>
          <w:rFonts w:ascii="Times New Roman" w:hAnsi="Times New Roman" w:cs="Times New Roman"/>
          <w:sz w:val="24"/>
          <w:szCs w:val="24"/>
        </w:rPr>
        <w:t>Получить от Заказчика реестр получателей Товара в срок не более 2 рабочих дней с даты подписания акта выборочной проверки поставляемого Товара и передать Товар Получателю (представителю Получателя)</w:t>
      </w:r>
      <w:r w:rsidRPr="009C0FEF">
        <w:rPr>
          <w:rFonts w:ascii="Times New Roman" w:hAnsi="Times New Roman" w:cs="Times New Roman"/>
          <w:sz w:val="24"/>
          <w:szCs w:val="24"/>
          <w:vertAlign w:val="superscript"/>
        </w:rPr>
        <w:footnoteReference w:id="2"/>
      </w:r>
      <w:r w:rsidRPr="009C0FEF">
        <w:rPr>
          <w:rFonts w:ascii="Times New Roman" w:hAnsi="Times New Roman" w:cs="Times New Roman"/>
          <w:sz w:val="24"/>
          <w:szCs w:val="24"/>
        </w:rPr>
        <w:t xml:space="preserve"> на основании акта приема-передачи Товара (Приложение N 6 к Контракту) при предъявлении им паспорта и направления, за исключением случаев если доставка Товара Получателю осуществлялась службой доставки (почтовым отправлением) с последующим предоставлением Поставщику документа, подписанного Получателем (уведомление о вручении), подтверждающего факт доставки Товара Получателю (далее – документ/уведомление о вручении, подтверждающее факт доставки Товара).</w:t>
      </w:r>
    </w:p>
    <w:p w:rsidR="00992944" w:rsidRPr="009C0FEF" w:rsidRDefault="00992944" w:rsidP="00992944">
      <w:pPr>
        <w:widowControl w:val="0"/>
        <w:autoSpaceDE w:val="0"/>
        <w:autoSpaceDN w:val="0"/>
        <w:ind w:firstLine="567"/>
        <w:jc w:val="both"/>
      </w:pPr>
      <w:r w:rsidRPr="009C0FEF">
        <w:t>В случае отказа Получателя от Товара, невозможности получения Товара Получателем по каким-либо причинам в течение 3 рабочих дней со дня получения отказа Получателя от Товара или поступления информации о невозможности получения Товара Получателем, проинформировать об этом Заказчика с приложением подтверждающих документов.</w:t>
      </w:r>
    </w:p>
    <w:p w:rsidR="00992944" w:rsidRPr="009C0FEF" w:rsidRDefault="00992944" w:rsidP="00992944">
      <w:pPr>
        <w:widowControl w:val="0"/>
        <w:autoSpaceDE w:val="0"/>
        <w:autoSpaceDN w:val="0"/>
        <w:ind w:firstLine="567"/>
        <w:jc w:val="both"/>
      </w:pPr>
      <w:r w:rsidRPr="009C0FEF">
        <w:t>При приеме-передаче Товара осуществить по согласованию с Получателем (представителем Получателя) его распаковку, сборку (при необходимости), определить соответствие Товара антропометрическим показателям Получателя, за исключением случаев, если доставка Товара Получателю осуществлялась службой доставки (почтовым отправлением).</w:t>
      </w:r>
    </w:p>
    <w:p w:rsidR="00992944" w:rsidRDefault="00992944" w:rsidP="00992944">
      <w:pPr>
        <w:suppressAutoHyphens/>
        <w:ind w:firstLine="567"/>
        <w:jc w:val="both"/>
        <w:rPr>
          <w:lang w:eastAsia="ar-SA"/>
        </w:rPr>
      </w:pPr>
      <w:r>
        <w:rPr>
          <w:lang w:eastAsia="ar-SA"/>
        </w:rPr>
        <w:t>5. Провести инструктаж Получателя (представителя Получателя) об условиях и требованиях к эксплуатации Товара, а также передать с Товаром инструкцию для пользователя Товара на русском языке и гарантийный талон (при наличии) со сведениями о переданном Товаре. Осуществлять фото-/</w:t>
      </w:r>
      <w:proofErr w:type="spellStart"/>
      <w:r>
        <w:rPr>
          <w:lang w:eastAsia="ar-SA"/>
        </w:rPr>
        <w:t>видеофиксацию</w:t>
      </w:r>
      <w:proofErr w:type="spellEnd"/>
      <w:r>
        <w:rPr>
          <w:lang w:eastAsia="ar-SA"/>
        </w:rPr>
        <w:t xml:space="preserve"> факта передачи Товара Получателю (представителю Получателя) (при его согласии) с последующей передачей фото- /видеоматериалов Заказчику.</w:t>
      </w:r>
    </w:p>
    <w:p w:rsidR="00992944" w:rsidRDefault="00992944" w:rsidP="00992944">
      <w:pPr>
        <w:suppressAutoHyphens/>
        <w:ind w:firstLine="567"/>
        <w:jc w:val="both"/>
        <w:rPr>
          <w:lang w:eastAsia="ar-SA"/>
        </w:rPr>
      </w:pPr>
      <w:r>
        <w:rPr>
          <w:lang w:eastAsia="ar-SA"/>
        </w:rPr>
        <w:t>6. Проинформировать Получателя (представителя Получателя) о порядке и сроках гарантийного обслуживания, а также о месте нахождения и режиме работы пунктов приема Получателей Товара (специализированной мастерской или сервисной службы), расположенных в г. Санкт-Петербург и Ленинградской области.</w:t>
      </w:r>
    </w:p>
    <w:p w:rsidR="00992944" w:rsidRDefault="00992944" w:rsidP="00992944">
      <w:pPr>
        <w:suppressAutoHyphens/>
        <w:ind w:firstLine="567"/>
        <w:jc w:val="both"/>
        <w:rPr>
          <w:lang w:eastAsia="ar-SA"/>
        </w:rPr>
      </w:pPr>
      <w:r>
        <w:rPr>
          <w:lang w:eastAsia="ar-SA"/>
        </w:rPr>
        <w:t>7. Предоставить Заказчику возможность осуществить выборочную проверку поставляемого Товара, а именно:</w:t>
      </w:r>
    </w:p>
    <w:p w:rsidR="00992944" w:rsidRDefault="00992944" w:rsidP="00992944">
      <w:pPr>
        <w:suppressAutoHyphens/>
        <w:ind w:firstLine="567"/>
        <w:jc w:val="both"/>
        <w:rPr>
          <w:lang w:eastAsia="ar-SA"/>
        </w:rPr>
      </w:pPr>
      <w:r>
        <w:rPr>
          <w:lang w:eastAsia="ar-SA"/>
        </w:rPr>
        <w:t>- обеспечить беспрепятственный доступ представителям Заказчика к месту нахождения Товара;</w:t>
      </w:r>
    </w:p>
    <w:p w:rsidR="00992944" w:rsidRDefault="00992944" w:rsidP="00992944">
      <w:pPr>
        <w:suppressAutoHyphens/>
        <w:ind w:firstLine="567"/>
        <w:jc w:val="both"/>
        <w:rPr>
          <w:lang w:eastAsia="ar-SA"/>
        </w:rPr>
      </w:pPr>
      <w:r>
        <w:rPr>
          <w:lang w:eastAsia="ar-SA"/>
        </w:rPr>
        <w:t>- обеспечить присутствие представителя Поставщика при осуществлении выборочной проверки поставляемого Товара.</w:t>
      </w:r>
    </w:p>
    <w:p w:rsidR="00992944" w:rsidRDefault="00992944" w:rsidP="00992944">
      <w:pPr>
        <w:suppressAutoHyphens/>
        <w:ind w:firstLine="567"/>
        <w:jc w:val="both"/>
        <w:rPr>
          <w:lang w:eastAsia="ar-SA"/>
        </w:rPr>
      </w:pPr>
      <w:r>
        <w:rPr>
          <w:lang w:eastAsia="ar-SA"/>
        </w:rPr>
        <w:t xml:space="preserve">8. В случае выявления Заказчиком при проведении выборочной проверки поставляемого Товара нарушения требований: </w:t>
      </w:r>
    </w:p>
    <w:p w:rsidR="00992944" w:rsidRDefault="00992944" w:rsidP="00992944">
      <w:pPr>
        <w:suppressAutoHyphens/>
        <w:ind w:firstLine="567"/>
        <w:jc w:val="both"/>
        <w:rPr>
          <w:lang w:eastAsia="ar-SA"/>
        </w:rPr>
      </w:pPr>
      <w:r>
        <w:rPr>
          <w:lang w:eastAsia="ar-SA"/>
        </w:rPr>
        <w:t>- соблюдения соответствия правил упаковки и маркировки поставляемого Товара требованиям, установленным техническим заданием;</w:t>
      </w:r>
    </w:p>
    <w:p w:rsidR="00992944" w:rsidRDefault="00992944" w:rsidP="00992944">
      <w:pPr>
        <w:suppressAutoHyphens/>
        <w:ind w:firstLine="567"/>
        <w:jc w:val="both"/>
        <w:rPr>
          <w:lang w:eastAsia="ar-SA"/>
        </w:rPr>
      </w:pPr>
      <w:r>
        <w:rPr>
          <w:lang w:eastAsia="ar-SA"/>
        </w:rPr>
        <w:t>- соответствие поставляемого Товара по количеству, комплектности, ассортименту и качеству требованиям, установленным календарным планом, техническим заданием и спецификацией;</w:t>
      </w:r>
    </w:p>
    <w:p w:rsidR="00992944" w:rsidRDefault="00992944" w:rsidP="00992944">
      <w:pPr>
        <w:suppressAutoHyphens/>
        <w:ind w:firstLine="567"/>
        <w:jc w:val="both"/>
        <w:rPr>
          <w:lang w:eastAsia="ar-SA"/>
        </w:rPr>
      </w:pPr>
      <w:r>
        <w:rPr>
          <w:lang w:eastAsia="ar-SA"/>
        </w:rPr>
        <w:t>- надлежащее оформление документов, удостоверяющих количество, комплектность, ассортимент и качество поставляемого Товара, отгрузочных документов, соответствие указанных в них данных о поставляемом Товаре фактическому их количеству, комплектности, ассортименту и качеству;</w:t>
      </w:r>
    </w:p>
    <w:p w:rsidR="00992944" w:rsidRDefault="00992944" w:rsidP="00992944">
      <w:pPr>
        <w:autoSpaceDE w:val="0"/>
        <w:autoSpaceDN w:val="0"/>
        <w:adjustRightInd w:val="0"/>
        <w:ind w:firstLine="567"/>
        <w:jc w:val="both"/>
      </w:pPr>
      <w:r>
        <w:rPr>
          <w:lang w:eastAsia="ar-SA"/>
        </w:rPr>
        <w:t>- наличие инструкции для пользователя Товара на русском языке, гарантийного талона (при наличии), а также копий действующих регистрационных удостоверений, выданных Федеральной службой по надзору в сфере здравоохранения.</w:t>
      </w:r>
    </w:p>
    <w:p w:rsidR="00992944" w:rsidRDefault="00992944" w:rsidP="00992944">
      <w:pPr>
        <w:suppressAutoHyphens/>
        <w:ind w:firstLine="567"/>
        <w:jc w:val="both"/>
        <w:rPr>
          <w:lang w:eastAsia="ar-SA"/>
        </w:rPr>
      </w:pPr>
      <w:r>
        <w:rPr>
          <w:lang w:eastAsia="ar-SA"/>
        </w:rPr>
        <w:t>- соответствие поставляемого Товара иным предусмотренным Контрактом требованиям, -</w:t>
      </w:r>
    </w:p>
    <w:p w:rsidR="00992944" w:rsidRDefault="00992944" w:rsidP="00992944">
      <w:pPr>
        <w:suppressAutoHyphens/>
        <w:ind w:firstLine="567"/>
        <w:jc w:val="both"/>
        <w:rPr>
          <w:lang w:eastAsia="ar-SA"/>
        </w:rPr>
      </w:pPr>
      <w:r>
        <w:rPr>
          <w:lang w:eastAsia="ar-SA"/>
        </w:rPr>
        <w:t>устранить их (заменить, доукомплектовать Товар) в срок не более 5 рабочих дней с даты получения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 установленные Контрактом.</w:t>
      </w:r>
    </w:p>
    <w:p w:rsidR="00992944" w:rsidRDefault="00992944" w:rsidP="00992944">
      <w:pPr>
        <w:suppressAutoHyphens/>
        <w:ind w:firstLine="567"/>
        <w:jc w:val="both"/>
        <w:rPr>
          <w:lang w:eastAsia="ar-SA"/>
        </w:rPr>
      </w:pPr>
      <w:r>
        <w:rPr>
          <w:lang w:eastAsia="ar-SA"/>
        </w:rPr>
        <w:t>9. В случае обнаружения обстоятельств, препятствующих проведению выборочной проверки поставляемого Товара или осуществлению поставки Товара, в письменном виде уведомить Заказчика о таких обстоятельствах в течение 3 рабочих дней с даты их выявления.</w:t>
      </w:r>
    </w:p>
    <w:p w:rsidR="00992944" w:rsidRDefault="00992944" w:rsidP="00992944">
      <w:pPr>
        <w:suppressAutoHyphens/>
        <w:ind w:firstLine="567"/>
        <w:jc w:val="both"/>
        <w:rPr>
          <w:lang w:eastAsia="ar-SA"/>
        </w:rPr>
      </w:pPr>
      <w:r>
        <w:rPr>
          <w:lang w:eastAsia="ar-SA"/>
        </w:rPr>
        <w:t>10. Представить Заказчику копии действующего регистрационного удостоверения, выданного Федеральной службой по надзору в сфере здравоохранения.</w:t>
      </w:r>
    </w:p>
    <w:p w:rsidR="00992944" w:rsidRDefault="00992944" w:rsidP="00992944">
      <w:pPr>
        <w:suppressAutoHyphens/>
        <w:ind w:firstLine="567"/>
        <w:jc w:val="both"/>
        <w:rPr>
          <w:lang w:eastAsia="ar-SA"/>
        </w:rPr>
      </w:pPr>
      <w:r>
        <w:rPr>
          <w:lang w:eastAsia="ar-SA"/>
        </w:rPr>
        <w:t>11. В течение 2 рабочих дней с даты заключения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Заказчика.</w:t>
      </w:r>
    </w:p>
    <w:p w:rsidR="00992944" w:rsidRDefault="00992944" w:rsidP="00992944">
      <w:pPr>
        <w:suppressAutoHyphens/>
        <w:ind w:firstLine="567"/>
        <w:jc w:val="both"/>
        <w:rPr>
          <w:lang w:eastAsia="ar-SA"/>
        </w:rPr>
      </w:pPr>
      <w:r>
        <w:rPr>
          <w:lang w:eastAsia="ar-SA"/>
        </w:rPr>
        <w:t>12. Сохранять в тайне и не разглашать третьим лицам информацию о Контракте, а также любую информацию служебного, технического, коммерческого, финансового, личного характера,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Поставщику в ходе исполнения Контракта, не использовать ее любым другим способом, а также предпринимать все необходимые меры для предотвращения разглашения конфиденциальной информации. Использовать предоставленную Заказчиком информацию только в целях исполнения Контракта.</w:t>
      </w:r>
    </w:p>
    <w:p w:rsidR="00992944" w:rsidRDefault="00992944" w:rsidP="00992944">
      <w:pPr>
        <w:suppressAutoHyphens/>
        <w:ind w:firstLine="567"/>
        <w:jc w:val="both"/>
        <w:rPr>
          <w:lang w:eastAsia="ar-SA"/>
        </w:rPr>
      </w:pPr>
      <w:r>
        <w:rPr>
          <w:lang w:eastAsia="ar-SA"/>
        </w:rPr>
        <w:t>Поставщик обязан обеспечивать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 июля 2006 г. N 152-ФЗ "О персональных данных", Федеральным законом от 27 июля 2006 г. N 149-ФЗ "Об информации, информационных технологиях и о защите информации".</w:t>
      </w:r>
    </w:p>
    <w:p w:rsidR="00992944" w:rsidRDefault="00992944" w:rsidP="00992944">
      <w:pPr>
        <w:suppressAutoHyphens/>
        <w:ind w:firstLine="567"/>
        <w:jc w:val="both"/>
        <w:rPr>
          <w:lang w:eastAsia="ar-SA"/>
        </w:rPr>
      </w:pPr>
      <w:r>
        <w:rPr>
          <w:lang w:eastAsia="ar-SA"/>
        </w:rPr>
        <w:t>13. Предоставлять по требованию Заказчика в установленные сроки информацию о ходе исполнения обязательств по Контракту с использованием средств связи, указанных в подпункте 2, а также видеоматериалы с пунктов выдачи Товара и склада Поставщика.</w:t>
      </w:r>
    </w:p>
    <w:p w:rsidR="00992944" w:rsidRDefault="00992944" w:rsidP="00992944">
      <w:pPr>
        <w:suppressAutoHyphens/>
        <w:ind w:firstLine="567"/>
        <w:jc w:val="both"/>
        <w:rPr>
          <w:lang w:eastAsia="ar-SA"/>
        </w:rPr>
      </w:pPr>
      <w:r>
        <w:rPr>
          <w:lang w:eastAsia="ar-SA"/>
        </w:rPr>
        <w:t>14. 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
    <w:p w:rsidR="00992944" w:rsidRDefault="00992944" w:rsidP="00992944">
      <w:pPr>
        <w:suppressAutoHyphens/>
        <w:ind w:firstLine="567"/>
        <w:jc w:val="both"/>
        <w:rPr>
          <w:lang w:eastAsia="ar-SA"/>
        </w:rPr>
      </w:pPr>
      <w:r>
        <w:rPr>
          <w:lang w:eastAsia="ar-SA"/>
        </w:rPr>
        <w:t>15. Осуществлять еженедельное предоставление Заказчику информации о движении Товара на складе Поставщика, сформированной посредством программного продукта, применяемого для складского учета, а также обеспечить мониторинг за перемещением поставляемого Товара с предоставлением по требованию Заказчика информации, подтверждающей перемещение Товара.</w:t>
      </w:r>
    </w:p>
    <w:p w:rsidR="00992944" w:rsidRDefault="00992944" w:rsidP="00992944">
      <w:pPr>
        <w:suppressAutoHyphens/>
        <w:ind w:firstLine="567"/>
        <w:jc w:val="both"/>
        <w:rPr>
          <w:lang w:eastAsia="ar-SA"/>
        </w:rPr>
      </w:pPr>
      <w:r>
        <w:rPr>
          <w:lang w:eastAsia="ar-SA"/>
        </w:rPr>
        <w:t>16. 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rsidR="00992944" w:rsidRDefault="00992944" w:rsidP="00992944">
      <w:pPr>
        <w:suppressAutoHyphens/>
        <w:ind w:firstLine="567"/>
        <w:jc w:val="both"/>
        <w:rPr>
          <w:lang w:eastAsia="ar-SA"/>
        </w:rPr>
      </w:pPr>
      <w:r>
        <w:rPr>
          <w:lang w:eastAsia="ar-SA"/>
        </w:rPr>
        <w:t>17. Информировать Заказчика о наступлении гарантийных случаев, предусмотренных Контрактом, и об исполненных по ним обязательствам.</w:t>
      </w:r>
    </w:p>
    <w:p w:rsidR="00992944" w:rsidRPr="00FA13A3" w:rsidRDefault="00992944" w:rsidP="00992944">
      <w:pPr>
        <w:widowControl w:val="0"/>
        <w:autoSpaceDE w:val="0"/>
        <w:autoSpaceDN w:val="0"/>
        <w:ind w:firstLine="567"/>
        <w:jc w:val="both"/>
      </w:pPr>
      <w:r w:rsidRPr="002960A3">
        <w:rPr>
          <w:lang w:eastAsia="ar-SA"/>
        </w:rPr>
        <w:t xml:space="preserve">18. </w:t>
      </w:r>
      <w:r w:rsidRPr="00FA13A3">
        <w:t>Предоставить Получателям согласно реестру получателей Товара в пределах административных границ субъекта Российской Федерации, указанного в пункте 1.1 Контракта, право выбора одного из способов получения Товара:</w:t>
      </w:r>
    </w:p>
    <w:p w:rsidR="00992944" w:rsidRPr="00FA13A3" w:rsidRDefault="00992944" w:rsidP="00992944">
      <w:pPr>
        <w:widowControl w:val="0"/>
        <w:autoSpaceDE w:val="0"/>
        <w:autoSpaceDN w:val="0"/>
        <w:ind w:firstLine="567"/>
        <w:jc w:val="both"/>
      </w:pPr>
      <w:r w:rsidRPr="00FA13A3">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992944" w:rsidRPr="00FA13A3" w:rsidRDefault="00992944" w:rsidP="00992944">
      <w:pPr>
        <w:widowControl w:val="0"/>
        <w:autoSpaceDE w:val="0"/>
        <w:autoSpaceDN w:val="0"/>
        <w:ind w:firstLine="567"/>
        <w:jc w:val="both"/>
      </w:pPr>
      <w:r w:rsidRPr="00FA13A3">
        <w:t>в стационарных пунктах выдачи, организованных в соответствии с приказом Министерства труда и социальной защиты Российской Федерации от 30 июля 2015 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92944" w:rsidRPr="002960A3" w:rsidRDefault="00992944" w:rsidP="00992944">
      <w:pPr>
        <w:suppressAutoHyphens/>
        <w:ind w:firstLine="567"/>
        <w:jc w:val="both"/>
        <w:rPr>
          <w:lang w:eastAsia="ar-SA"/>
        </w:rPr>
      </w:pPr>
      <w:r w:rsidRPr="002960A3">
        <w:rPr>
          <w:lang w:eastAsia="ar-SA"/>
        </w:rPr>
        <w:t>Свободный доступ Получателя и представителей Заказчика в пункт выдачи должен быть обеспечен в часы работы пункта выдачи.</w:t>
      </w:r>
    </w:p>
    <w:p w:rsidR="00992944" w:rsidRPr="002960A3" w:rsidRDefault="00992944" w:rsidP="00992944">
      <w:pPr>
        <w:suppressAutoHyphens/>
        <w:ind w:firstLine="567"/>
        <w:jc w:val="both"/>
        <w:rPr>
          <w:lang w:eastAsia="ar-SA"/>
        </w:rPr>
      </w:pPr>
      <w:r w:rsidRPr="002960A3">
        <w:rPr>
          <w:lang w:eastAsia="ar-SA"/>
        </w:rPr>
        <w:t>Пункты выдачи Товара и склад Поставщика должны быть оснащены видеокамерами.</w:t>
      </w:r>
    </w:p>
    <w:p w:rsidR="00992944" w:rsidRPr="002960A3" w:rsidRDefault="00992944" w:rsidP="00992944">
      <w:pPr>
        <w:suppressAutoHyphens/>
        <w:ind w:firstLine="567"/>
        <w:jc w:val="both"/>
        <w:rPr>
          <w:lang w:eastAsia="ar-SA"/>
        </w:rPr>
      </w:pPr>
      <w:r>
        <w:rPr>
          <w:lang w:eastAsia="ar-SA"/>
        </w:rPr>
        <w:t>19. В</w:t>
      </w:r>
      <w:r w:rsidRPr="002960A3">
        <w:rPr>
          <w:lang w:eastAsia="ar-SA"/>
        </w:rPr>
        <w:t xml:space="preserve"> случае самостоятельного обращения к Поставщику Товар должен быть выдан в день обращения Получателю либо лицу, представляющему его интересы на основании документа, подтверждающего его полномочия и направления, выданного Заказчиком.</w:t>
      </w:r>
    </w:p>
    <w:p w:rsidR="00992944" w:rsidRPr="002960A3" w:rsidRDefault="00992944" w:rsidP="00992944">
      <w:pPr>
        <w:suppressAutoHyphens/>
        <w:ind w:firstLine="567"/>
        <w:jc w:val="both"/>
        <w:rPr>
          <w:lang w:eastAsia="ar-SA"/>
        </w:rPr>
      </w:pPr>
      <w:r w:rsidRPr="002960A3">
        <w:rPr>
          <w:lang w:eastAsia="ar-SA"/>
        </w:rPr>
        <w:t>20.  В случае выбора Получателем способа получения Товара по месту жительства:</w:t>
      </w:r>
    </w:p>
    <w:p w:rsidR="00992944" w:rsidRPr="002960A3" w:rsidRDefault="00992944" w:rsidP="00992944">
      <w:pPr>
        <w:suppressAutoHyphens/>
        <w:ind w:firstLine="567"/>
        <w:jc w:val="both"/>
        <w:rPr>
          <w:lang w:eastAsia="ar-SA"/>
        </w:rPr>
      </w:pPr>
      <w:r w:rsidRPr="002960A3">
        <w:rPr>
          <w:lang w:eastAsia="ar-SA"/>
        </w:rPr>
        <w:t>О предстоящей доставке Товара до места жительства (дом, квартира) Получателя Поставщик должен уведомить Получателя не позднее, чем за 2 (Два) календарных дня до предполагаемой даты доставки.</w:t>
      </w:r>
    </w:p>
    <w:p w:rsidR="00992944" w:rsidRPr="002960A3" w:rsidRDefault="00992944" w:rsidP="00992944">
      <w:pPr>
        <w:suppressAutoHyphens/>
        <w:ind w:firstLine="567"/>
        <w:jc w:val="both"/>
        <w:rPr>
          <w:lang w:eastAsia="ar-SA"/>
        </w:rPr>
      </w:pPr>
      <w:r w:rsidRPr="002960A3">
        <w:rPr>
          <w:lang w:eastAsia="ar-SA"/>
        </w:rPr>
        <w:t xml:space="preserve">Доставка Товара до места жительства (дом, квартира) Получателя должна осуществляться ежедневно не ранее 08 часов 00 минут и не позднее 22 часов 00 минут.  </w:t>
      </w:r>
    </w:p>
    <w:p w:rsidR="00992944" w:rsidRPr="002960A3" w:rsidRDefault="00992944" w:rsidP="00992944">
      <w:pPr>
        <w:suppressAutoHyphens/>
        <w:ind w:firstLine="567"/>
        <w:jc w:val="both"/>
      </w:pPr>
      <w:r w:rsidRPr="002960A3">
        <w:t>21. Поставка Товара Получателям осуществляется Поставщиком после получения от Заказчика реестра получателей Товара. Поставщик должен согласовать с Получателем способ доставки Товара не позднее 2 (Двух) календарных дней со дня получения от Заказчика реестра Получателей Товара, с соответствующей регистрацией выбранного Получателем способа доставки в регистрационном журнале.</w:t>
      </w:r>
    </w:p>
    <w:p w:rsidR="00992944" w:rsidRDefault="00992944" w:rsidP="00992944">
      <w:pPr>
        <w:suppressAutoHyphens/>
        <w:ind w:firstLine="567"/>
        <w:jc w:val="both"/>
      </w:pPr>
      <w:r w:rsidRPr="002960A3">
        <w:t>22.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992944" w:rsidRDefault="00992944" w:rsidP="00992944">
      <w:pPr>
        <w:suppressAutoHyphens/>
        <w:ind w:firstLine="567"/>
        <w:jc w:val="both"/>
      </w:pPr>
    </w:p>
    <w:p w:rsidR="00992944" w:rsidRPr="005F5BDA" w:rsidRDefault="00992944" w:rsidP="00992944">
      <w:pPr>
        <w:widowControl w:val="0"/>
        <w:autoSpaceDE w:val="0"/>
        <w:autoSpaceDN w:val="0"/>
        <w:jc w:val="center"/>
        <w:rPr>
          <w:b/>
          <w:sz w:val="22"/>
          <w:szCs w:val="20"/>
        </w:rPr>
      </w:pPr>
      <w:r w:rsidRPr="005F5BDA">
        <w:rPr>
          <w:b/>
          <w:sz w:val="22"/>
          <w:szCs w:val="20"/>
        </w:rPr>
        <w:t>Календарный план</w:t>
      </w:r>
    </w:p>
    <w:p w:rsidR="00992944" w:rsidRDefault="00992944" w:rsidP="00992944">
      <w:pPr>
        <w:widowControl w:val="0"/>
        <w:autoSpaceDE w:val="0"/>
        <w:autoSpaceDN w:val="0"/>
        <w:ind w:left="360"/>
        <w:rPr>
          <w:rFonts w:ascii="Calibri" w:hAnsi="Calibri" w:cs="Calibri"/>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377"/>
        <w:gridCol w:w="3005"/>
        <w:gridCol w:w="1531"/>
      </w:tblGrid>
      <w:tr w:rsidR="00992944" w:rsidRPr="00334F1E" w:rsidTr="005A14CE">
        <w:trPr>
          <w:jc w:val="center"/>
        </w:trPr>
        <w:tc>
          <w:tcPr>
            <w:tcW w:w="454" w:type="dxa"/>
            <w:vAlign w:val="center"/>
          </w:tcPr>
          <w:p w:rsidR="00992944" w:rsidRPr="00334F1E" w:rsidRDefault="00992944" w:rsidP="005A14CE">
            <w:pPr>
              <w:widowControl w:val="0"/>
              <w:autoSpaceDE w:val="0"/>
              <w:autoSpaceDN w:val="0"/>
              <w:jc w:val="center"/>
              <w:rPr>
                <w:sz w:val="22"/>
                <w:szCs w:val="20"/>
              </w:rPr>
            </w:pPr>
            <w:r w:rsidRPr="00334F1E">
              <w:rPr>
                <w:sz w:val="22"/>
                <w:szCs w:val="20"/>
              </w:rPr>
              <w:t>N п/п</w:t>
            </w:r>
          </w:p>
        </w:tc>
        <w:tc>
          <w:tcPr>
            <w:tcW w:w="3377" w:type="dxa"/>
            <w:vAlign w:val="center"/>
          </w:tcPr>
          <w:p w:rsidR="00992944" w:rsidRPr="00334F1E" w:rsidRDefault="00992944" w:rsidP="005A14CE">
            <w:pPr>
              <w:widowControl w:val="0"/>
              <w:autoSpaceDE w:val="0"/>
              <w:autoSpaceDN w:val="0"/>
              <w:jc w:val="center"/>
              <w:rPr>
                <w:sz w:val="22"/>
                <w:szCs w:val="20"/>
              </w:rPr>
            </w:pPr>
            <w:r w:rsidRPr="00334F1E">
              <w:rPr>
                <w:sz w:val="22"/>
                <w:szCs w:val="20"/>
              </w:rPr>
              <w:t>Наименование Товара</w:t>
            </w:r>
          </w:p>
        </w:tc>
        <w:tc>
          <w:tcPr>
            <w:tcW w:w="3005" w:type="dxa"/>
            <w:vAlign w:val="center"/>
          </w:tcPr>
          <w:p w:rsidR="00992944" w:rsidRPr="00334F1E" w:rsidRDefault="00992944" w:rsidP="005A14CE">
            <w:pPr>
              <w:widowControl w:val="0"/>
              <w:autoSpaceDE w:val="0"/>
              <w:autoSpaceDN w:val="0"/>
              <w:jc w:val="center"/>
              <w:rPr>
                <w:sz w:val="22"/>
                <w:szCs w:val="20"/>
              </w:rPr>
            </w:pPr>
            <w:r w:rsidRPr="00334F1E">
              <w:rPr>
                <w:sz w:val="22"/>
                <w:szCs w:val="20"/>
              </w:rPr>
              <w:t>П</w:t>
            </w:r>
            <w:r>
              <w:rPr>
                <w:sz w:val="22"/>
                <w:szCs w:val="20"/>
              </w:rPr>
              <w:t>ериоды поставки на 2022</w:t>
            </w:r>
            <w:r w:rsidRPr="00334F1E">
              <w:rPr>
                <w:sz w:val="22"/>
                <w:szCs w:val="20"/>
              </w:rPr>
              <w:t xml:space="preserve"> год </w:t>
            </w:r>
            <w:r w:rsidRPr="00334F1E">
              <w:rPr>
                <w:sz w:val="22"/>
                <w:szCs w:val="20"/>
                <w:vertAlign w:val="superscript"/>
              </w:rPr>
              <w:footnoteReference w:id="3"/>
            </w:r>
            <w:r>
              <w:rPr>
                <w:sz w:val="22"/>
                <w:szCs w:val="20"/>
              </w:rPr>
              <w:t>*</w:t>
            </w:r>
          </w:p>
        </w:tc>
        <w:tc>
          <w:tcPr>
            <w:tcW w:w="1531" w:type="dxa"/>
            <w:vAlign w:val="center"/>
          </w:tcPr>
          <w:p w:rsidR="00992944" w:rsidRPr="00334F1E" w:rsidRDefault="00992944" w:rsidP="005A14CE">
            <w:pPr>
              <w:widowControl w:val="0"/>
              <w:autoSpaceDE w:val="0"/>
              <w:autoSpaceDN w:val="0"/>
              <w:jc w:val="center"/>
              <w:rPr>
                <w:sz w:val="22"/>
                <w:szCs w:val="20"/>
              </w:rPr>
            </w:pPr>
            <w:r w:rsidRPr="00334F1E">
              <w:rPr>
                <w:sz w:val="22"/>
                <w:szCs w:val="20"/>
              </w:rPr>
              <w:t>Количество</w:t>
            </w:r>
          </w:p>
          <w:p w:rsidR="00992944" w:rsidRPr="00334F1E" w:rsidRDefault="00992944" w:rsidP="005A14CE">
            <w:pPr>
              <w:widowControl w:val="0"/>
              <w:autoSpaceDE w:val="0"/>
              <w:autoSpaceDN w:val="0"/>
              <w:jc w:val="center"/>
              <w:rPr>
                <w:sz w:val="22"/>
                <w:szCs w:val="20"/>
              </w:rPr>
            </w:pPr>
            <w:r w:rsidRPr="00334F1E">
              <w:rPr>
                <w:sz w:val="22"/>
                <w:szCs w:val="20"/>
              </w:rPr>
              <w:t>(шт.)</w:t>
            </w:r>
          </w:p>
        </w:tc>
        <w:bookmarkStart w:id="1" w:name="P750"/>
        <w:bookmarkEnd w:id="1"/>
      </w:tr>
      <w:tr w:rsidR="00992944" w:rsidRPr="00334F1E" w:rsidTr="005A14CE">
        <w:trPr>
          <w:trHeight w:val="373"/>
          <w:jc w:val="center"/>
        </w:trPr>
        <w:tc>
          <w:tcPr>
            <w:tcW w:w="454" w:type="dxa"/>
            <w:vAlign w:val="center"/>
          </w:tcPr>
          <w:p w:rsidR="00992944" w:rsidRPr="00334F1E" w:rsidRDefault="00992944" w:rsidP="005A14CE">
            <w:pPr>
              <w:widowControl w:val="0"/>
              <w:autoSpaceDE w:val="0"/>
              <w:autoSpaceDN w:val="0"/>
              <w:jc w:val="center"/>
              <w:rPr>
                <w:sz w:val="22"/>
                <w:szCs w:val="20"/>
              </w:rPr>
            </w:pPr>
            <w:r w:rsidRPr="00334F1E">
              <w:rPr>
                <w:sz w:val="22"/>
                <w:szCs w:val="20"/>
              </w:rPr>
              <w:t>1</w:t>
            </w:r>
          </w:p>
        </w:tc>
        <w:tc>
          <w:tcPr>
            <w:tcW w:w="3377" w:type="dxa"/>
            <w:vAlign w:val="center"/>
          </w:tcPr>
          <w:p w:rsidR="00992944" w:rsidRPr="00032672" w:rsidRDefault="00992944" w:rsidP="005A14CE">
            <w:pPr>
              <w:jc w:val="center"/>
              <w:rPr>
                <w:sz w:val="20"/>
                <w:szCs w:val="20"/>
              </w:rPr>
            </w:pPr>
            <w:r w:rsidRPr="00032672">
              <w:rPr>
                <w:sz w:val="20"/>
                <w:szCs w:val="20"/>
              </w:rPr>
              <w:t>Ходунки с дополнительной фиксацией (поддержкой) тела, в том числе для больных детским церебральным параличом (ДЦП)</w:t>
            </w:r>
          </w:p>
          <w:p w:rsidR="00992944" w:rsidRPr="00334F1E" w:rsidRDefault="00992944" w:rsidP="005A14CE">
            <w:pPr>
              <w:jc w:val="center"/>
              <w:rPr>
                <w:sz w:val="22"/>
                <w:szCs w:val="20"/>
              </w:rPr>
            </w:pPr>
          </w:p>
        </w:tc>
        <w:tc>
          <w:tcPr>
            <w:tcW w:w="3005" w:type="dxa"/>
            <w:vAlign w:val="center"/>
          </w:tcPr>
          <w:p w:rsidR="00992944" w:rsidRPr="00E73E81" w:rsidRDefault="00992944" w:rsidP="005A14CE">
            <w:pPr>
              <w:widowControl w:val="0"/>
              <w:autoSpaceDE w:val="0"/>
              <w:autoSpaceDN w:val="0"/>
              <w:jc w:val="center"/>
              <w:rPr>
                <w:sz w:val="20"/>
                <w:szCs w:val="20"/>
              </w:rPr>
            </w:pPr>
            <w:r w:rsidRPr="00E73E81">
              <w:rPr>
                <w:sz w:val="20"/>
                <w:szCs w:val="20"/>
              </w:rPr>
              <w:t>В течение 5 календарных дней с момента заключения контракта</w:t>
            </w:r>
          </w:p>
        </w:tc>
        <w:tc>
          <w:tcPr>
            <w:tcW w:w="1531" w:type="dxa"/>
            <w:vAlign w:val="center"/>
          </w:tcPr>
          <w:p w:rsidR="00992944" w:rsidRPr="00E73E81" w:rsidRDefault="00992944" w:rsidP="005A14CE">
            <w:pPr>
              <w:widowControl w:val="0"/>
              <w:autoSpaceDE w:val="0"/>
              <w:autoSpaceDN w:val="0"/>
              <w:jc w:val="center"/>
              <w:rPr>
                <w:sz w:val="22"/>
                <w:szCs w:val="20"/>
              </w:rPr>
            </w:pPr>
            <w:r>
              <w:rPr>
                <w:sz w:val="22"/>
                <w:szCs w:val="20"/>
              </w:rPr>
              <w:t>70</w:t>
            </w:r>
          </w:p>
        </w:tc>
      </w:tr>
      <w:tr w:rsidR="00992944" w:rsidRPr="00334F1E" w:rsidTr="005A14CE">
        <w:trPr>
          <w:trHeight w:val="373"/>
          <w:jc w:val="center"/>
        </w:trPr>
        <w:tc>
          <w:tcPr>
            <w:tcW w:w="8367" w:type="dxa"/>
            <w:gridSpan w:val="4"/>
            <w:vAlign w:val="center"/>
          </w:tcPr>
          <w:p w:rsidR="00992944" w:rsidRPr="00334F1E" w:rsidRDefault="00992944" w:rsidP="005A14CE">
            <w:pPr>
              <w:widowControl w:val="0"/>
              <w:autoSpaceDE w:val="0"/>
              <w:autoSpaceDN w:val="0"/>
              <w:jc w:val="center"/>
              <w:rPr>
                <w:sz w:val="22"/>
                <w:szCs w:val="20"/>
              </w:rPr>
            </w:pPr>
            <w:r>
              <w:rPr>
                <w:sz w:val="22"/>
                <w:szCs w:val="20"/>
              </w:rPr>
              <w:t>*</w:t>
            </w:r>
            <w:r w:rsidRPr="00116E8E">
              <w:rPr>
                <w:sz w:val="20"/>
                <w:szCs w:val="20"/>
              </w:rPr>
              <w:t>В случае заключения дополнительного соглашения об увеличения количества Товара в рамках 10% в течение 5 календарных дней с момента заключения такого дополнительного соглашения</w:t>
            </w:r>
          </w:p>
        </w:tc>
      </w:tr>
      <w:tr w:rsidR="00992944" w:rsidRPr="00334F1E" w:rsidTr="005A14CE">
        <w:trPr>
          <w:jc w:val="center"/>
        </w:trPr>
        <w:tc>
          <w:tcPr>
            <w:tcW w:w="6836" w:type="dxa"/>
            <w:gridSpan w:val="3"/>
            <w:vAlign w:val="center"/>
          </w:tcPr>
          <w:p w:rsidR="00992944" w:rsidRPr="00334F1E" w:rsidRDefault="00992944" w:rsidP="005A14CE">
            <w:pPr>
              <w:widowControl w:val="0"/>
              <w:autoSpaceDE w:val="0"/>
              <w:autoSpaceDN w:val="0"/>
              <w:jc w:val="center"/>
              <w:rPr>
                <w:b/>
                <w:sz w:val="22"/>
                <w:szCs w:val="20"/>
              </w:rPr>
            </w:pPr>
            <w:r w:rsidRPr="00334F1E">
              <w:rPr>
                <w:b/>
                <w:sz w:val="22"/>
                <w:szCs w:val="20"/>
              </w:rPr>
              <w:t>ИТОГО:</w:t>
            </w:r>
          </w:p>
        </w:tc>
        <w:tc>
          <w:tcPr>
            <w:tcW w:w="1531" w:type="dxa"/>
            <w:vAlign w:val="center"/>
          </w:tcPr>
          <w:p w:rsidR="00992944" w:rsidRPr="00334F1E" w:rsidRDefault="00992944" w:rsidP="005A14CE">
            <w:pPr>
              <w:widowControl w:val="0"/>
              <w:autoSpaceDE w:val="0"/>
              <w:autoSpaceDN w:val="0"/>
              <w:jc w:val="center"/>
              <w:rPr>
                <w:b/>
                <w:sz w:val="22"/>
                <w:szCs w:val="20"/>
              </w:rPr>
            </w:pPr>
            <w:r>
              <w:rPr>
                <w:b/>
                <w:sz w:val="22"/>
                <w:szCs w:val="20"/>
              </w:rPr>
              <w:t>70</w:t>
            </w:r>
          </w:p>
        </w:tc>
      </w:tr>
    </w:tbl>
    <w:p w:rsidR="00992944" w:rsidRDefault="00992944" w:rsidP="00992944">
      <w:pPr>
        <w:pStyle w:val="a4"/>
        <w:ind w:left="360"/>
        <w:rPr>
          <w:sz w:val="24"/>
          <w:szCs w:val="24"/>
        </w:rPr>
      </w:pPr>
    </w:p>
    <w:p w:rsidR="00992944" w:rsidRDefault="00992944" w:rsidP="00992944">
      <w:pPr>
        <w:ind w:left="360"/>
        <w:jc w:val="both"/>
        <w:rPr>
          <w:u w:val="single"/>
        </w:rPr>
      </w:pPr>
    </w:p>
    <w:p w:rsidR="00992944" w:rsidRDefault="00992944" w:rsidP="00992944">
      <w:pPr>
        <w:widowControl w:val="0"/>
        <w:numPr>
          <w:ilvl w:val="0"/>
          <w:numId w:val="7"/>
        </w:numPr>
        <w:suppressAutoHyphens/>
        <w:autoSpaceDE w:val="0"/>
        <w:autoSpaceDN w:val="0"/>
        <w:adjustRightInd w:val="0"/>
        <w:ind w:left="0" w:firstLine="567"/>
        <w:rPr>
          <w:u w:val="single"/>
        </w:rPr>
      </w:pPr>
      <w:r w:rsidRPr="00A44F3F">
        <w:rPr>
          <w:u w:val="single"/>
        </w:rPr>
        <w:t>Требования к гарантийному сроку товара и объему предоставления гарантий качества Товара:</w:t>
      </w:r>
    </w:p>
    <w:p w:rsidR="00992944" w:rsidRPr="00A44F3F" w:rsidRDefault="00992944" w:rsidP="00992944">
      <w:pPr>
        <w:widowControl w:val="0"/>
        <w:suppressAutoHyphens/>
        <w:autoSpaceDE w:val="0"/>
        <w:autoSpaceDN w:val="0"/>
        <w:adjustRightInd w:val="0"/>
        <w:rPr>
          <w:u w:val="single"/>
        </w:rPr>
      </w:pPr>
    </w:p>
    <w:p w:rsidR="00992944" w:rsidRPr="00A44F3F" w:rsidRDefault="00992944" w:rsidP="00992944">
      <w:pPr>
        <w:widowControl w:val="0"/>
        <w:autoSpaceDE w:val="0"/>
        <w:autoSpaceDN w:val="0"/>
        <w:ind w:firstLine="540"/>
      </w:pPr>
      <w:r w:rsidRPr="00A44F3F">
        <w:t xml:space="preserve"> Поставляемый Товар должен быть свободен от прав третьих лиц, являться новым (не быть ранее в употреблении, в ремонте, не быть восстановленным или у которого осуществлена замена основных частей Товара, не были восстановлены потребительские свойства), не должен иметь недостатков и дефектов, связанных с разработкой, материалами или качеством изготовления (в том числе скрытых недостатков и дефектов), проявляющихся при должной эксплуатации Товара в обычных условиях. На Товаре не должно быть механических повреждений.</w:t>
      </w:r>
    </w:p>
    <w:p w:rsidR="00992944" w:rsidRPr="00A44F3F" w:rsidRDefault="00992944" w:rsidP="00992944">
      <w:pPr>
        <w:widowControl w:val="0"/>
        <w:autoSpaceDE w:val="0"/>
        <w:autoSpaceDN w:val="0"/>
        <w:ind w:firstLine="540"/>
        <w:jc w:val="both"/>
      </w:pPr>
      <w:r w:rsidRPr="00A44F3F">
        <w:t>Поставляемый Товар должен соответствовать стандартам на данные виды Товара. При передаче Товара Получателям Поставщик должен предоставить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указываются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поставляемого Товара.</w:t>
      </w:r>
    </w:p>
    <w:p w:rsidR="00992944" w:rsidRPr="00A44F3F" w:rsidRDefault="00992944" w:rsidP="00992944">
      <w:pPr>
        <w:widowControl w:val="0"/>
        <w:autoSpaceDE w:val="0"/>
        <w:autoSpaceDN w:val="0"/>
        <w:ind w:firstLine="540"/>
        <w:jc w:val="both"/>
      </w:pPr>
      <w:r w:rsidRPr="00A44F3F">
        <w:t>Гарантийный срок не распространяется на случаи нарушения Получателем условий и требований к эксплуатации Товара.</w:t>
      </w:r>
    </w:p>
    <w:p w:rsidR="00992944" w:rsidRPr="00A44F3F" w:rsidRDefault="00992944" w:rsidP="00992944">
      <w:pPr>
        <w:widowControl w:val="0"/>
        <w:autoSpaceDE w:val="0"/>
        <w:autoSpaceDN w:val="0"/>
        <w:ind w:firstLine="540"/>
        <w:jc w:val="both"/>
      </w:pPr>
      <w:r w:rsidRPr="00A44F3F">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либо осуществлена замена Товара на аналогичный Товар надлежащего качества.</w:t>
      </w:r>
    </w:p>
    <w:p w:rsidR="00992944" w:rsidRPr="00A44F3F" w:rsidRDefault="00992944" w:rsidP="00992944">
      <w:pPr>
        <w:widowControl w:val="0"/>
        <w:autoSpaceDE w:val="0"/>
        <w:autoSpaceDN w:val="0"/>
        <w:ind w:firstLine="540"/>
        <w:jc w:val="both"/>
      </w:pPr>
      <w:r w:rsidRPr="00A44F3F">
        <w:t>Срок выполнения гарантийного ремонта Товара не должен превышать 10 (Десять) рабочих дней со дня обращения Получателя (Заказчика).</w:t>
      </w:r>
    </w:p>
    <w:p w:rsidR="00992944" w:rsidRPr="00A44F3F" w:rsidRDefault="00992944" w:rsidP="00992944">
      <w:pPr>
        <w:widowControl w:val="0"/>
        <w:autoSpaceDE w:val="0"/>
        <w:autoSpaceDN w:val="0"/>
        <w:ind w:firstLine="540"/>
        <w:jc w:val="both"/>
      </w:pPr>
      <w:r w:rsidRPr="00A44F3F">
        <w:t>Срок осуществления замены Товара не должен превышать 10 (Десять) рабочих дней со дня обращения Получателя (Заказчика).</w:t>
      </w:r>
    </w:p>
    <w:p w:rsidR="00992944" w:rsidRPr="00A44F3F" w:rsidRDefault="00992944" w:rsidP="00992944">
      <w:pPr>
        <w:widowControl w:val="0"/>
        <w:autoSpaceDE w:val="0"/>
        <w:autoSpaceDN w:val="0"/>
        <w:ind w:firstLine="540"/>
        <w:jc w:val="both"/>
      </w:pPr>
      <w:r w:rsidRPr="00A44F3F">
        <w:t xml:space="preserve"> При передаче Получателем Товара на гарантийный ремонт или для замены Поставщик должен выдать Получателю документ, подтверждающий получение данного Товара Поставщиком.</w:t>
      </w:r>
    </w:p>
    <w:p w:rsidR="00992944" w:rsidRDefault="00992944" w:rsidP="00992944">
      <w:pPr>
        <w:widowControl w:val="0"/>
        <w:autoSpaceDE w:val="0"/>
        <w:autoSpaceDN w:val="0"/>
        <w:ind w:firstLine="540"/>
        <w:jc w:val="both"/>
      </w:pPr>
      <w:r w:rsidRPr="00A44F3F">
        <w:t xml:space="preserve"> Поставщик должен обеспечить возможность приемки Товара на гарантийный ремонт или для его замены по фактическому месту проживания Получателя с последующей доставкой Товара до Получателя по указанному адресу с подъемом на этаж.</w:t>
      </w:r>
    </w:p>
    <w:p w:rsidR="00992944" w:rsidRPr="00A44F3F" w:rsidRDefault="00992944" w:rsidP="00992944">
      <w:pPr>
        <w:widowControl w:val="0"/>
        <w:autoSpaceDE w:val="0"/>
        <w:autoSpaceDN w:val="0"/>
        <w:ind w:firstLine="540"/>
        <w:jc w:val="both"/>
      </w:pPr>
    </w:p>
    <w:p w:rsidR="00992944" w:rsidRPr="00B804C5" w:rsidRDefault="00992944" w:rsidP="00992944">
      <w:pPr>
        <w:widowControl w:val="0"/>
        <w:numPr>
          <w:ilvl w:val="0"/>
          <w:numId w:val="7"/>
        </w:numPr>
        <w:suppressAutoHyphens/>
        <w:autoSpaceDE w:val="0"/>
        <w:autoSpaceDN w:val="0"/>
        <w:adjustRightInd w:val="0"/>
        <w:ind w:left="0" w:firstLine="567"/>
        <w:jc w:val="both"/>
        <w:rPr>
          <w:u w:val="single"/>
        </w:rPr>
      </w:pPr>
      <w:r w:rsidRPr="00B804C5">
        <w:rPr>
          <w:u w:val="single"/>
        </w:rPr>
        <w:t>Требования к энергетической эффективности товара:</w:t>
      </w:r>
    </w:p>
    <w:p w:rsidR="00992944" w:rsidRPr="00B804C5" w:rsidRDefault="00992944" w:rsidP="00992944">
      <w:pPr>
        <w:widowControl w:val="0"/>
        <w:autoSpaceDE w:val="0"/>
        <w:autoSpaceDN w:val="0"/>
        <w:adjustRightInd w:val="0"/>
        <w:ind w:firstLine="420"/>
        <w:jc w:val="both"/>
        <w:rPr>
          <w:u w:val="single"/>
        </w:rPr>
      </w:pPr>
    </w:p>
    <w:p w:rsidR="00992944" w:rsidRDefault="00992944" w:rsidP="00992944">
      <w:pPr>
        <w:widowControl w:val="0"/>
        <w:autoSpaceDE w:val="0"/>
        <w:autoSpaceDN w:val="0"/>
        <w:adjustRightInd w:val="0"/>
        <w:jc w:val="both"/>
      </w:pPr>
      <w:r w:rsidRPr="00B804C5">
        <w:t xml:space="preserve">      Требования не установлены</w:t>
      </w:r>
    </w:p>
    <w:p w:rsidR="002B0B8D" w:rsidRPr="002B0B8D" w:rsidRDefault="002B0B8D" w:rsidP="002B0B8D">
      <w:pPr>
        <w:widowControl w:val="0"/>
        <w:suppressAutoHyphens/>
        <w:autoSpaceDE w:val="0"/>
        <w:jc w:val="both"/>
        <w:rPr>
          <w:lang w:eastAsia="ar-SA"/>
        </w:rPr>
      </w:pPr>
    </w:p>
    <w:p w:rsidR="00446270" w:rsidRPr="00446270" w:rsidRDefault="00446270" w:rsidP="00446270">
      <w:pPr>
        <w:widowControl w:val="0"/>
        <w:autoSpaceDE w:val="0"/>
        <w:autoSpaceDN w:val="0"/>
        <w:adjustRightInd w:val="0"/>
        <w:ind w:firstLine="540"/>
        <w:jc w:val="both"/>
      </w:pPr>
    </w:p>
    <w:p w:rsidR="00446270" w:rsidRPr="00446270" w:rsidRDefault="00446270" w:rsidP="00446270">
      <w:pPr>
        <w:ind w:firstLine="420"/>
        <w:jc w:val="both"/>
        <w:rPr>
          <w:u w:val="single"/>
        </w:rPr>
      </w:pPr>
      <w:r w:rsidRPr="00446270">
        <w:rPr>
          <w:szCs w:val="26"/>
          <w:u w:val="single"/>
        </w:rPr>
        <w:t xml:space="preserve">Срок поставки </w:t>
      </w:r>
      <w:r w:rsidRPr="00446270">
        <w:rPr>
          <w:bCs/>
          <w:u w:val="single"/>
        </w:rPr>
        <w:t>Товара Получателям</w:t>
      </w:r>
      <w:r w:rsidRPr="00446270">
        <w:rPr>
          <w:szCs w:val="26"/>
          <w:u w:val="single"/>
        </w:rPr>
        <w:t xml:space="preserve"> – с даты получения от Заказчика р</w:t>
      </w:r>
      <w:r>
        <w:rPr>
          <w:szCs w:val="26"/>
          <w:u w:val="single"/>
        </w:rPr>
        <w:t>еестра получателей Товара до «</w:t>
      </w:r>
      <w:r w:rsidR="00992944">
        <w:rPr>
          <w:szCs w:val="26"/>
          <w:u w:val="single"/>
        </w:rPr>
        <w:t xml:space="preserve">01» сентября </w:t>
      </w:r>
      <w:r w:rsidR="001332D1">
        <w:rPr>
          <w:szCs w:val="26"/>
          <w:u w:val="single"/>
        </w:rPr>
        <w:t>202</w:t>
      </w:r>
      <w:r w:rsidR="00992944">
        <w:rPr>
          <w:szCs w:val="26"/>
          <w:u w:val="single"/>
        </w:rPr>
        <w:t>2</w:t>
      </w:r>
      <w:r w:rsidRPr="00446270">
        <w:rPr>
          <w:szCs w:val="26"/>
          <w:u w:val="single"/>
        </w:rPr>
        <w:t xml:space="preserve"> года.</w:t>
      </w:r>
    </w:p>
    <w:p w:rsidR="00446270" w:rsidRPr="00446270" w:rsidRDefault="00446270" w:rsidP="00446270">
      <w:pPr>
        <w:ind w:firstLine="420"/>
        <w:jc w:val="both"/>
        <w:rPr>
          <w:u w:val="single"/>
        </w:rPr>
      </w:pPr>
      <w:r w:rsidRPr="00446270">
        <w:rPr>
          <w:u w:val="single"/>
        </w:rPr>
        <w:t>Место доставки Товара - г. Санкт-Петербург и Ленинградская область.</w:t>
      </w:r>
    </w:p>
    <w:p w:rsidR="00446270" w:rsidRPr="00446270" w:rsidRDefault="00446270" w:rsidP="00446270">
      <w:pPr>
        <w:ind w:firstLine="420"/>
        <w:jc w:val="both"/>
        <w:rPr>
          <w:u w:val="single"/>
        </w:rPr>
      </w:pPr>
    </w:p>
    <w:p w:rsidR="00EC2590" w:rsidRDefault="00EC2590" w:rsidP="00446270"/>
    <w:sectPr w:rsidR="00EC2590" w:rsidSect="002114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2FF" w:rsidRDefault="00B742FF" w:rsidP="006736CC">
      <w:r>
        <w:separator/>
      </w:r>
    </w:p>
  </w:endnote>
  <w:endnote w:type="continuationSeparator" w:id="0">
    <w:p w:rsidR="00B742FF" w:rsidRDefault="00B742FF" w:rsidP="0067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2FF" w:rsidRDefault="00B742FF" w:rsidP="006736CC">
      <w:r>
        <w:separator/>
      </w:r>
    </w:p>
  </w:footnote>
  <w:footnote w:type="continuationSeparator" w:id="0">
    <w:p w:rsidR="00B742FF" w:rsidRDefault="00B742FF" w:rsidP="006736CC">
      <w:r>
        <w:continuationSeparator/>
      </w:r>
    </w:p>
  </w:footnote>
  <w:footnote w:id="1">
    <w:p w:rsidR="00992944" w:rsidRDefault="00992944" w:rsidP="00992944">
      <w:pPr>
        <w:pStyle w:val="a4"/>
      </w:pPr>
      <w:r>
        <w:rPr>
          <w:rStyle w:val="a3"/>
        </w:rPr>
        <w:footnoteRef/>
      </w:r>
      <w:r>
        <w:t xml:space="preserve"> </w:t>
      </w:r>
      <w:r w:rsidRPr="00257200">
        <w:rPr>
          <w:sz w:val="16"/>
          <w:szCs w:val="16"/>
        </w:rPr>
        <w:t>Классификация ТСР</w:t>
      </w:r>
      <w:r>
        <w:rPr>
          <w:sz w:val="16"/>
          <w:szCs w:val="16"/>
        </w:rPr>
        <w:t xml:space="preserve"> (изделий) в рамках федерального перечня реабилитационных мероприятий, ТСР и услуг, предоставляемых инвалиду</w:t>
      </w:r>
      <w:r w:rsidRPr="00257200">
        <w:rPr>
          <w:sz w:val="16"/>
          <w:szCs w:val="16"/>
        </w:rPr>
        <w:t xml:space="preserve">, утвержденная приказом </w:t>
      </w:r>
      <w:r w:rsidRPr="00C54225">
        <w:rPr>
          <w:sz w:val="16"/>
          <w:szCs w:val="16"/>
        </w:rPr>
        <w:t>Министерства труда и социальной защиты Российской Федерации</w:t>
      </w:r>
      <w:r>
        <w:rPr>
          <w:sz w:val="16"/>
          <w:szCs w:val="16"/>
        </w:rPr>
        <w:t xml:space="preserve"> от 13</w:t>
      </w:r>
      <w:r w:rsidRPr="00257200">
        <w:rPr>
          <w:sz w:val="16"/>
          <w:szCs w:val="16"/>
        </w:rPr>
        <w:t xml:space="preserve"> </w:t>
      </w:r>
      <w:r>
        <w:rPr>
          <w:sz w:val="16"/>
          <w:szCs w:val="16"/>
        </w:rPr>
        <w:t>февраля</w:t>
      </w:r>
      <w:r w:rsidRPr="00257200">
        <w:rPr>
          <w:sz w:val="16"/>
          <w:szCs w:val="16"/>
        </w:rPr>
        <w:t xml:space="preserve"> 201</w:t>
      </w:r>
      <w:r>
        <w:rPr>
          <w:sz w:val="16"/>
          <w:szCs w:val="16"/>
        </w:rPr>
        <w:t xml:space="preserve">8 </w:t>
      </w:r>
      <w:r w:rsidRPr="00257200">
        <w:rPr>
          <w:sz w:val="16"/>
          <w:szCs w:val="16"/>
        </w:rPr>
        <w:t>г</w:t>
      </w:r>
      <w:r>
        <w:rPr>
          <w:sz w:val="16"/>
          <w:szCs w:val="16"/>
        </w:rPr>
        <w:t>ода</w:t>
      </w:r>
      <w:r w:rsidRPr="00257200">
        <w:rPr>
          <w:sz w:val="16"/>
          <w:szCs w:val="16"/>
        </w:rPr>
        <w:t xml:space="preserve"> №</w:t>
      </w:r>
      <w:r>
        <w:rPr>
          <w:sz w:val="16"/>
          <w:szCs w:val="16"/>
        </w:rPr>
        <w:t xml:space="preserve">86н </w:t>
      </w:r>
    </w:p>
    <w:p w:rsidR="00992944" w:rsidRPr="00921A6F" w:rsidRDefault="00992944" w:rsidP="00992944">
      <w:pPr>
        <w:pStyle w:val="a4"/>
      </w:pPr>
    </w:p>
  </w:footnote>
  <w:footnote w:id="2">
    <w:p w:rsidR="00992944" w:rsidRPr="00853CFC" w:rsidRDefault="00992944" w:rsidP="00992944">
      <w:pPr>
        <w:pStyle w:val="ConsPlusNormal"/>
        <w:ind w:firstLine="540"/>
        <w:jc w:val="both"/>
      </w:pPr>
      <w:r>
        <w:rPr>
          <w:rStyle w:val="a3"/>
        </w:rPr>
        <w:footnoteRef/>
      </w:r>
      <w:r>
        <w:t xml:space="preserve"> </w:t>
      </w:r>
      <w:r w:rsidRPr="00853CFC">
        <w:rPr>
          <w:rFonts w:ascii="Times New Roman" w:hAnsi="Times New Roman" w:cs="Times New Roman"/>
          <w:sz w:val="18"/>
          <w:szCs w:val="18"/>
        </w:rPr>
        <w:t>В случае если получать Товар будет представитель Получателя, то также предъявляется оформленная надлежащим образом доверенность или иной документ, подтверждающий полномочия представителя Получателя</w:t>
      </w:r>
      <w:r w:rsidRPr="00853CFC">
        <w:t>.</w:t>
      </w:r>
    </w:p>
    <w:p w:rsidR="00992944" w:rsidRDefault="00992944" w:rsidP="00992944">
      <w:pPr>
        <w:pStyle w:val="a4"/>
      </w:pPr>
    </w:p>
  </w:footnote>
  <w:footnote w:id="3">
    <w:p w:rsidR="00992944" w:rsidRPr="003E5741" w:rsidRDefault="00992944" w:rsidP="00473245">
      <w:pPr>
        <w:jc w:val="both"/>
        <w:rPr>
          <w:sz w:val="18"/>
          <w:szCs w:val="18"/>
        </w:rPr>
      </w:pPr>
      <w:r w:rsidRPr="003E5741">
        <w:rPr>
          <w:rStyle w:val="a3"/>
          <w:sz w:val="18"/>
          <w:szCs w:val="18"/>
        </w:rPr>
        <w:footnoteRef/>
      </w:r>
      <w:r>
        <w:rPr>
          <w:sz w:val="18"/>
          <w:szCs w:val="18"/>
        </w:rPr>
        <w:t xml:space="preserve"> Указываются периоды </w:t>
      </w:r>
      <w:r w:rsidRPr="003E5741">
        <w:rPr>
          <w:sz w:val="18"/>
          <w:szCs w:val="18"/>
        </w:rPr>
        <w:t>поставки Товара в г. Санкт-Петербург и Ленинградс</w:t>
      </w:r>
      <w:r>
        <w:rPr>
          <w:sz w:val="18"/>
          <w:szCs w:val="18"/>
        </w:rPr>
        <w:t>кую</w:t>
      </w:r>
      <w:r w:rsidRPr="003E5741">
        <w:rPr>
          <w:sz w:val="18"/>
          <w:szCs w:val="18"/>
        </w:rPr>
        <w:t xml:space="preserve"> область, в том числе сроки (</w:t>
      </w:r>
      <w:r w:rsidRPr="00AA4BF8">
        <w:rPr>
          <w:sz w:val="18"/>
          <w:szCs w:val="18"/>
        </w:rPr>
        <w:t>количество дней с даты заключения Контракта</w:t>
      </w:r>
      <w:r w:rsidRPr="003E5741">
        <w:rPr>
          <w:sz w:val="18"/>
          <w:szCs w:val="18"/>
        </w:rPr>
        <w:t>)</w:t>
      </w:r>
      <w:r>
        <w:rPr>
          <w:sz w:val="18"/>
          <w:szCs w:val="18"/>
        </w:rPr>
        <w:t>.</w:t>
      </w:r>
    </w:p>
    <w:p w:rsidR="00992944" w:rsidRDefault="00992944" w:rsidP="00992944">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D6A99"/>
    <w:multiLevelType w:val="hybridMultilevel"/>
    <w:tmpl w:val="7B4EF2A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41906183"/>
    <w:multiLevelType w:val="hybridMultilevel"/>
    <w:tmpl w:val="2EC47566"/>
    <w:lvl w:ilvl="0" w:tplc="0409000F">
      <w:start w:val="1"/>
      <w:numFmt w:val="decimal"/>
      <w:lvlText w:val="%1."/>
      <w:lvlJc w:val="left"/>
      <w:pPr>
        <w:ind w:left="177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2">
    <w:nsid w:val="5AE84F94"/>
    <w:multiLevelType w:val="hybridMultilevel"/>
    <w:tmpl w:val="B93E1CD2"/>
    <w:lvl w:ilvl="0" w:tplc="CC1605E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1AC4E93"/>
    <w:multiLevelType w:val="hybridMultilevel"/>
    <w:tmpl w:val="5D96969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635218B0"/>
    <w:multiLevelType w:val="hybridMultilevel"/>
    <w:tmpl w:val="B9E041E8"/>
    <w:lvl w:ilvl="0" w:tplc="A0E8704A">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22E2D96"/>
    <w:multiLevelType w:val="hybridMultilevel"/>
    <w:tmpl w:val="85742CB8"/>
    <w:lvl w:ilvl="0" w:tplc="7C60DBD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4A089B"/>
    <w:multiLevelType w:val="hybridMultilevel"/>
    <w:tmpl w:val="962CB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960254"/>
    <w:multiLevelType w:val="hybridMultilevel"/>
    <w:tmpl w:val="2AD0F946"/>
    <w:lvl w:ilvl="0" w:tplc="86364A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CC44652"/>
    <w:multiLevelType w:val="hybridMultilevel"/>
    <w:tmpl w:val="93A8353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7"/>
  </w:num>
  <w:num w:numId="3">
    <w:abstractNumId w:val="8"/>
  </w:num>
  <w:num w:numId="4">
    <w:abstractNumId w:val="2"/>
  </w:num>
  <w:num w:numId="5">
    <w:abstractNumId w:val="0"/>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75AE"/>
    <w:rsid w:val="0001123D"/>
    <w:rsid w:val="000243D4"/>
    <w:rsid w:val="00042208"/>
    <w:rsid w:val="00045798"/>
    <w:rsid w:val="00056AF1"/>
    <w:rsid w:val="00067723"/>
    <w:rsid w:val="000715B2"/>
    <w:rsid w:val="00091D10"/>
    <w:rsid w:val="00094C44"/>
    <w:rsid w:val="000B0216"/>
    <w:rsid w:val="000B3D8E"/>
    <w:rsid w:val="000C4E19"/>
    <w:rsid w:val="000C772A"/>
    <w:rsid w:val="000D58B8"/>
    <w:rsid w:val="000F4FC0"/>
    <w:rsid w:val="0010083A"/>
    <w:rsid w:val="001076C1"/>
    <w:rsid w:val="0011331A"/>
    <w:rsid w:val="001134C1"/>
    <w:rsid w:val="001135C6"/>
    <w:rsid w:val="001332D1"/>
    <w:rsid w:val="00134AF7"/>
    <w:rsid w:val="00140729"/>
    <w:rsid w:val="00154626"/>
    <w:rsid w:val="00156A85"/>
    <w:rsid w:val="00165CB0"/>
    <w:rsid w:val="00177638"/>
    <w:rsid w:val="00180621"/>
    <w:rsid w:val="001A2EDF"/>
    <w:rsid w:val="001B3213"/>
    <w:rsid w:val="001C671D"/>
    <w:rsid w:val="001D717E"/>
    <w:rsid w:val="001E25CD"/>
    <w:rsid w:val="001E4ADF"/>
    <w:rsid w:val="001E4BB7"/>
    <w:rsid w:val="002114D4"/>
    <w:rsid w:val="002148EC"/>
    <w:rsid w:val="00214B1E"/>
    <w:rsid w:val="00224504"/>
    <w:rsid w:val="00224CF6"/>
    <w:rsid w:val="00237E72"/>
    <w:rsid w:val="002401B0"/>
    <w:rsid w:val="00241572"/>
    <w:rsid w:val="00246B26"/>
    <w:rsid w:val="00256F1D"/>
    <w:rsid w:val="00257200"/>
    <w:rsid w:val="0026057B"/>
    <w:rsid w:val="0027014E"/>
    <w:rsid w:val="00283E5F"/>
    <w:rsid w:val="00290F59"/>
    <w:rsid w:val="002B0B8D"/>
    <w:rsid w:val="002B3538"/>
    <w:rsid w:val="002B6871"/>
    <w:rsid w:val="002C7086"/>
    <w:rsid w:val="002D778D"/>
    <w:rsid w:val="002E287C"/>
    <w:rsid w:val="002E5183"/>
    <w:rsid w:val="002E5BAB"/>
    <w:rsid w:val="002E6079"/>
    <w:rsid w:val="002F0AAD"/>
    <w:rsid w:val="002F4A42"/>
    <w:rsid w:val="002F7115"/>
    <w:rsid w:val="003008F6"/>
    <w:rsid w:val="00314AF8"/>
    <w:rsid w:val="003319D8"/>
    <w:rsid w:val="00372E42"/>
    <w:rsid w:val="00376307"/>
    <w:rsid w:val="00377567"/>
    <w:rsid w:val="003C1542"/>
    <w:rsid w:val="003C40A0"/>
    <w:rsid w:val="00403069"/>
    <w:rsid w:val="004153AC"/>
    <w:rsid w:val="004308BE"/>
    <w:rsid w:val="00430D57"/>
    <w:rsid w:val="00446270"/>
    <w:rsid w:val="004571AF"/>
    <w:rsid w:val="004638C0"/>
    <w:rsid w:val="00473245"/>
    <w:rsid w:val="00480BB1"/>
    <w:rsid w:val="00483262"/>
    <w:rsid w:val="00483FDB"/>
    <w:rsid w:val="004A4120"/>
    <w:rsid w:val="004B19E1"/>
    <w:rsid w:val="004B1BDF"/>
    <w:rsid w:val="004B447F"/>
    <w:rsid w:val="004B4E2B"/>
    <w:rsid w:val="004C0C54"/>
    <w:rsid w:val="004D3CEE"/>
    <w:rsid w:val="004F4CE4"/>
    <w:rsid w:val="004F74D5"/>
    <w:rsid w:val="004F74F3"/>
    <w:rsid w:val="005043AF"/>
    <w:rsid w:val="00510AAE"/>
    <w:rsid w:val="00511FA7"/>
    <w:rsid w:val="0051606D"/>
    <w:rsid w:val="00522C87"/>
    <w:rsid w:val="00524731"/>
    <w:rsid w:val="00555BA8"/>
    <w:rsid w:val="00580164"/>
    <w:rsid w:val="005B18AB"/>
    <w:rsid w:val="005D4103"/>
    <w:rsid w:val="0063536E"/>
    <w:rsid w:val="00641ADB"/>
    <w:rsid w:val="006447F0"/>
    <w:rsid w:val="006453C8"/>
    <w:rsid w:val="0067085E"/>
    <w:rsid w:val="006736CC"/>
    <w:rsid w:val="00677A9E"/>
    <w:rsid w:val="00691C47"/>
    <w:rsid w:val="006A6437"/>
    <w:rsid w:val="006B43A0"/>
    <w:rsid w:val="006D17F9"/>
    <w:rsid w:val="006E083D"/>
    <w:rsid w:val="00707569"/>
    <w:rsid w:val="007125BC"/>
    <w:rsid w:val="007147CD"/>
    <w:rsid w:val="00724EC5"/>
    <w:rsid w:val="00741172"/>
    <w:rsid w:val="00751B6D"/>
    <w:rsid w:val="0076098E"/>
    <w:rsid w:val="007746BC"/>
    <w:rsid w:val="00797116"/>
    <w:rsid w:val="007B5254"/>
    <w:rsid w:val="007C0193"/>
    <w:rsid w:val="007C625C"/>
    <w:rsid w:val="007D64D0"/>
    <w:rsid w:val="007E4AAA"/>
    <w:rsid w:val="007F3D6D"/>
    <w:rsid w:val="007F643E"/>
    <w:rsid w:val="00803215"/>
    <w:rsid w:val="00814BFF"/>
    <w:rsid w:val="00815677"/>
    <w:rsid w:val="00822A87"/>
    <w:rsid w:val="00831E5C"/>
    <w:rsid w:val="0084089B"/>
    <w:rsid w:val="008452A1"/>
    <w:rsid w:val="008570D8"/>
    <w:rsid w:val="008773A9"/>
    <w:rsid w:val="00884217"/>
    <w:rsid w:val="008B5C40"/>
    <w:rsid w:val="008B67FE"/>
    <w:rsid w:val="008C0044"/>
    <w:rsid w:val="008C177D"/>
    <w:rsid w:val="008D27D5"/>
    <w:rsid w:val="008D69CA"/>
    <w:rsid w:val="008D724C"/>
    <w:rsid w:val="008E7976"/>
    <w:rsid w:val="009054F6"/>
    <w:rsid w:val="00914F16"/>
    <w:rsid w:val="00931AED"/>
    <w:rsid w:val="00947BC5"/>
    <w:rsid w:val="00952BBE"/>
    <w:rsid w:val="009550CB"/>
    <w:rsid w:val="00955879"/>
    <w:rsid w:val="0095659C"/>
    <w:rsid w:val="009674AF"/>
    <w:rsid w:val="00976D21"/>
    <w:rsid w:val="0098712E"/>
    <w:rsid w:val="00992944"/>
    <w:rsid w:val="009C1A62"/>
    <w:rsid w:val="009C6CB7"/>
    <w:rsid w:val="009D1076"/>
    <w:rsid w:val="009D29C6"/>
    <w:rsid w:val="009E3D89"/>
    <w:rsid w:val="009F0550"/>
    <w:rsid w:val="00A101FF"/>
    <w:rsid w:val="00A41445"/>
    <w:rsid w:val="00A475AE"/>
    <w:rsid w:val="00A47951"/>
    <w:rsid w:val="00A6439E"/>
    <w:rsid w:val="00A64CEC"/>
    <w:rsid w:val="00A768C6"/>
    <w:rsid w:val="00A769F3"/>
    <w:rsid w:val="00A932D2"/>
    <w:rsid w:val="00A96666"/>
    <w:rsid w:val="00A97BE5"/>
    <w:rsid w:val="00AA2396"/>
    <w:rsid w:val="00AB48D0"/>
    <w:rsid w:val="00AE3488"/>
    <w:rsid w:val="00B035CE"/>
    <w:rsid w:val="00B0479B"/>
    <w:rsid w:val="00B26881"/>
    <w:rsid w:val="00B36630"/>
    <w:rsid w:val="00B620F4"/>
    <w:rsid w:val="00B71BC0"/>
    <w:rsid w:val="00B742FF"/>
    <w:rsid w:val="00B85665"/>
    <w:rsid w:val="00B856BB"/>
    <w:rsid w:val="00B86F3B"/>
    <w:rsid w:val="00B9177D"/>
    <w:rsid w:val="00B926E5"/>
    <w:rsid w:val="00B927BC"/>
    <w:rsid w:val="00B93FCC"/>
    <w:rsid w:val="00B94F05"/>
    <w:rsid w:val="00BB16DF"/>
    <w:rsid w:val="00BB6B8A"/>
    <w:rsid w:val="00BD07E5"/>
    <w:rsid w:val="00BF3CB0"/>
    <w:rsid w:val="00C11C72"/>
    <w:rsid w:val="00C14BB8"/>
    <w:rsid w:val="00C37BA0"/>
    <w:rsid w:val="00C43155"/>
    <w:rsid w:val="00C50870"/>
    <w:rsid w:val="00C52073"/>
    <w:rsid w:val="00C54225"/>
    <w:rsid w:val="00C54BDF"/>
    <w:rsid w:val="00C72BB3"/>
    <w:rsid w:val="00C739D3"/>
    <w:rsid w:val="00C752D9"/>
    <w:rsid w:val="00C80239"/>
    <w:rsid w:val="00C91541"/>
    <w:rsid w:val="00C935A5"/>
    <w:rsid w:val="00CA4517"/>
    <w:rsid w:val="00CB2FC3"/>
    <w:rsid w:val="00CC0475"/>
    <w:rsid w:val="00CD34C2"/>
    <w:rsid w:val="00CD5D50"/>
    <w:rsid w:val="00D22C3C"/>
    <w:rsid w:val="00D44B45"/>
    <w:rsid w:val="00D5573E"/>
    <w:rsid w:val="00D5689A"/>
    <w:rsid w:val="00D6581B"/>
    <w:rsid w:val="00D670A0"/>
    <w:rsid w:val="00D673DF"/>
    <w:rsid w:val="00D717CE"/>
    <w:rsid w:val="00D83435"/>
    <w:rsid w:val="00D91BB9"/>
    <w:rsid w:val="00DC3089"/>
    <w:rsid w:val="00DC6FFF"/>
    <w:rsid w:val="00DE6099"/>
    <w:rsid w:val="00DF5743"/>
    <w:rsid w:val="00DF5B9D"/>
    <w:rsid w:val="00E07D08"/>
    <w:rsid w:val="00E13EDD"/>
    <w:rsid w:val="00E16CAD"/>
    <w:rsid w:val="00E22AEF"/>
    <w:rsid w:val="00E24AB9"/>
    <w:rsid w:val="00E26EEF"/>
    <w:rsid w:val="00E316DF"/>
    <w:rsid w:val="00E3396F"/>
    <w:rsid w:val="00E436DC"/>
    <w:rsid w:val="00E51F4D"/>
    <w:rsid w:val="00E6088B"/>
    <w:rsid w:val="00E80981"/>
    <w:rsid w:val="00E83D00"/>
    <w:rsid w:val="00E83EE0"/>
    <w:rsid w:val="00E8451C"/>
    <w:rsid w:val="00E879B1"/>
    <w:rsid w:val="00EA2C92"/>
    <w:rsid w:val="00EA583D"/>
    <w:rsid w:val="00EC2590"/>
    <w:rsid w:val="00EE23B3"/>
    <w:rsid w:val="00EE4077"/>
    <w:rsid w:val="00EF65B5"/>
    <w:rsid w:val="00F04FB0"/>
    <w:rsid w:val="00F1186D"/>
    <w:rsid w:val="00F313D5"/>
    <w:rsid w:val="00F54B92"/>
    <w:rsid w:val="00F56C6D"/>
    <w:rsid w:val="00FA3528"/>
    <w:rsid w:val="00FB2D16"/>
    <w:rsid w:val="00FB6F1A"/>
    <w:rsid w:val="00FB7C0B"/>
    <w:rsid w:val="00FC4609"/>
    <w:rsid w:val="00FE5D9D"/>
    <w:rsid w:val="00FE6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3BDFAA-9A08-444A-BEE2-1BE49743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6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736CC"/>
    <w:pPr>
      <w:widowControl w:val="0"/>
      <w:autoSpaceDE w:val="0"/>
      <w:autoSpaceDN w:val="0"/>
      <w:adjustRightInd w:val="0"/>
    </w:pPr>
    <w:rPr>
      <w:rFonts w:ascii="Arial" w:eastAsia="Times New Roman" w:hAnsi="Arial" w:cs="Arial"/>
    </w:rPr>
  </w:style>
  <w:style w:type="paragraph" w:customStyle="1" w:styleId="2-11">
    <w:name w:val="содержание2-11"/>
    <w:basedOn w:val="a"/>
    <w:uiPriority w:val="99"/>
    <w:rsid w:val="006736CC"/>
    <w:pPr>
      <w:spacing w:after="60"/>
      <w:jc w:val="both"/>
    </w:pPr>
  </w:style>
  <w:style w:type="paragraph" w:customStyle="1" w:styleId="21">
    <w:name w:val="Основной текст 21"/>
    <w:basedOn w:val="a"/>
    <w:uiPriority w:val="99"/>
    <w:rsid w:val="006736CC"/>
    <w:pPr>
      <w:suppressAutoHyphens/>
      <w:spacing w:after="120" w:line="480" w:lineRule="auto"/>
    </w:pPr>
    <w:rPr>
      <w:lang w:eastAsia="ar-SA"/>
    </w:rPr>
  </w:style>
  <w:style w:type="character" w:styleId="a3">
    <w:name w:val="footnote reference"/>
    <w:rsid w:val="006736CC"/>
    <w:rPr>
      <w:rFonts w:cs="Times New Roman"/>
      <w:vertAlign w:val="superscript"/>
    </w:r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5"/>
    <w:rsid w:val="006736CC"/>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4"/>
    <w:locked/>
    <w:rsid w:val="006736CC"/>
    <w:rPr>
      <w:rFonts w:ascii="Times New Roman" w:hAnsi="Times New Roman" w:cs="Times New Roman"/>
      <w:sz w:val="20"/>
      <w:szCs w:val="20"/>
      <w:lang w:eastAsia="ru-RU"/>
    </w:rPr>
  </w:style>
  <w:style w:type="paragraph" w:customStyle="1" w:styleId="1">
    <w:name w:val="Знак Знак1"/>
    <w:basedOn w:val="a"/>
    <w:uiPriority w:val="99"/>
    <w:rsid w:val="00B0479B"/>
    <w:pPr>
      <w:spacing w:before="100" w:beforeAutospacing="1" w:after="100" w:afterAutospacing="1"/>
    </w:pPr>
    <w:rPr>
      <w:rFonts w:ascii="Tahoma" w:hAnsi="Tahoma"/>
      <w:sz w:val="20"/>
      <w:szCs w:val="20"/>
      <w:lang w:val="en-US" w:eastAsia="en-US"/>
    </w:rPr>
  </w:style>
  <w:style w:type="paragraph" w:customStyle="1" w:styleId="11">
    <w:name w:val="Знак Знак11"/>
    <w:basedOn w:val="a"/>
    <w:uiPriority w:val="99"/>
    <w:rsid w:val="00A768C6"/>
    <w:pPr>
      <w:spacing w:before="100" w:beforeAutospacing="1" w:after="100" w:afterAutospacing="1"/>
    </w:pPr>
    <w:rPr>
      <w:rFonts w:ascii="Tahoma" w:eastAsia="Calibri" w:hAnsi="Tahoma"/>
      <w:sz w:val="20"/>
      <w:szCs w:val="20"/>
      <w:lang w:val="en-US" w:eastAsia="en-US"/>
    </w:rPr>
  </w:style>
  <w:style w:type="character" w:customStyle="1" w:styleId="2">
    <w:name w:val="Знак Знак2"/>
    <w:uiPriority w:val="99"/>
    <w:rsid w:val="00A768C6"/>
    <w:rPr>
      <w:rFonts w:cs="Times New Roman"/>
    </w:rPr>
  </w:style>
  <w:style w:type="character" w:customStyle="1" w:styleId="ConsPlusNormal0">
    <w:name w:val="ConsPlusNormal Знак"/>
    <w:link w:val="ConsPlusNormal"/>
    <w:locked/>
    <w:rsid w:val="00156A85"/>
    <w:rPr>
      <w:rFonts w:ascii="Arial" w:eastAsia="Times New Roman" w:hAnsi="Arial" w:cs="Arial"/>
    </w:rPr>
  </w:style>
  <w:style w:type="paragraph" w:styleId="a6">
    <w:name w:val="Balloon Text"/>
    <w:basedOn w:val="a"/>
    <w:link w:val="a7"/>
    <w:uiPriority w:val="99"/>
    <w:semiHidden/>
    <w:unhideWhenUsed/>
    <w:rsid w:val="00283E5F"/>
    <w:rPr>
      <w:rFonts w:ascii="Segoe UI" w:hAnsi="Segoe UI" w:cs="Segoe UI"/>
      <w:sz w:val="18"/>
      <w:szCs w:val="18"/>
    </w:rPr>
  </w:style>
  <w:style w:type="character" w:customStyle="1" w:styleId="a7">
    <w:name w:val="Текст выноски Знак"/>
    <w:link w:val="a6"/>
    <w:uiPriority w:val="99"/>
    <w:semiHidden/>
    <w:rsid w:val="00283E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26532">
      <w:bodyDiv w:val="1"/>
      <w:marLeft w:val="0"/>
      <w:marRight w:val="0"/>
      <w:marTop w:val="0"/>
      <w:marBottom w:val="0"/>
      <w:divBdr>
        <w:top w:val="none" w:sz="0" w:space="0" w:color="auto"/>
        <w:left w:val="none" w:sz="0" w:space="0" w:color="auto"/>
        <w:bottom w:val="none" w:sz="0" w:space="0" w:color="auto"/>
        <w:right w:val="none" w:sz="0" w:space="0" w:color="auto"/>
      </w:divBdr>
    </w:div>
    <w:div w:id="471871499">
      <w:bodyDiv w:val="1"/>
      <w:marLeft w:val="0"/>
      <w:marRight w:val="0"/>
      <w:marTop w:val="0"/>
      <w:marBottom w:val="0"/>
      <w:divBdr>
        <w:top w:val="none" w:sz="0" w:space="0" w:color="auto"/>
        <w:left w:val="none" w:sz="0" w:space="0" w:color="auto"/>
        <w:bottom w:val="none" w:sz="0" w:space="0" w:color="auto"/>
        <w:right w:val="none" w:sz="0" w:space="0" w:color="auto"/>
      </w:divBdr>
    </w:div>
    <w:div w:id="1858080876">
      <w:marLeft w:val="0"/>
      <w:marRight w:val="0"/>
      <w:marTop w:val="0"/>
      <w:marBottom w:val="0"/>
      <w:divBdr>
        <w:top w:val="none" w:sz="0" w:space="0" w:color="auto"/>
        <w:left w:val="none" w:sz="0" w:space="0" w:color="auto"/>
        <w:bottom w:val="none" w:sz="0" w:space="0" w:color="auto"/>
        <w:right w:val="none" w:sz="0" w:space="0" w:color="auto"/>
      </w:divBdr>
    </w:div>
    <w:div w:id="210522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9</Pages>
  <Words>2990</Words>
  <Characters>17045</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Афонькин Илья Андреевич</cp:lastModifiedBy>
  <cp:revision>211</cp:revision>
  <cp:lastPrinted>2021-11-01T11:30:00Z</cp:lastPrinted>
  <dcterms:created xsi:type="dcterms:W3CDTF">2018-07-20T08:29:00Z</dcterms:created>
  <dcterms:modified xsi:type="dcterms:W3CDTF">2021-12-20T09:37:00Z</dcterms:modified>
</cp:coreProperties>
</file>