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5A71C9DC" w:rsidR="0052416F" w:rsidRPr="00DE0184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E0184">
        <w:rPr>
          <w:b/>
          <w:szCs w:val="24"/>
        </w:rPr>
        <w:t>Т</w:t>
      </w:r>
      <w:r w:rsidR="005F7457" w:rsidRPr="00DE0184">
        <w:rPr>
          <w:b/>
          <w:szCs w:val="24"/>
        </w:rPr>
        <w:t>ехническое задание</w:t>
      </w:r>
      <w:r w:rsidR="00BF7B4A" w:rsidRPr="00DE0184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DBC72A2" w14:textId="77777777" w:rsidR="0085781E" w:rsidRPr="0085781E" w:rsidRDefault="0085781E" w:rsidP="0085781E">
      <w:pPr>
        <w:widowControl w:val="0"/>
        <w:spacing w:after="0" w:line="240" w:lineRule="auto"/>
        <w:jc w:val="center"/>
        <w:rPr>
          <w:b/>
          <w:szCs w:val="24"/>
        </w:rPr>
      </w:pPr>
      <w:r w:rsidRPr="0085781E">
        <w:rPr>
          <w:rFonts w:eastAsia="Cambria"/>
          <w:b/>
          <w:bCs/>
          <w:szCs w:val="24"/>
        </w:rPr>
        <w:t>Поставка пар ремешков для крепления мочеприемников (мешков для сбора мочи) к ноге</w:t>
      </w:r>
    </w:p>
    <w:p w14:paraId="01868F6A" w14:textId="77777777" w:rsidR="0085781E" w:rsidRPr="0085781E" w:rsidRDefault="0085781E" w:rsidP="0085781E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tbl>
      <w:tblPr>
        <w:tblStyle w:val="73"/>
        <w:tblW w:w="14959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2656"/>
        <w:gridCol w:w="5183"/>
        <w:gridCol w:w="1065"/>
        <w:gridCol w:w="877"/>
        <w:gridCol w:w="992"/>
        <w:gridCol w:w="1587"/>
      </w:tblGrid>
      <w:tr w:rsidR="0085781E" w:rsidRPr="0085781E" w14:paraId="3FFA167D" w14:textId="77777777" w:rsidTr="00F91BEA">
        <w:trPr>
          <w:trHeight w:val="2400"/>
        </w:trPr>
        <w:tc>
          <w:tcPr>
            <w:tcW w:w="614" w:type="dxa"/>
          </w:tcPr>
          <w:p w14:paraId="223891D4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14:paraId="6F3F2DF5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</w:tcPr>
          <w:p w14:paraId="65D30155" w14:textId="77777777" w:rsidR="0085781E" w:rsidRPr="0085781E" w:rsidRDefault="0085781E" w:rsidP="0085781E">
            <w:pPr>
              <w:keepLines/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656" w:type="dxa"/>
          </w:tcPr>
          <w:p w14:paraId="6AE6FCB5" w14:textId="77777777" w:rsidR="0085781E" w:rsidRPr="0085781E" w:rsidRDefault="0085781E" w:rsidP="0085781E">
            <w:pPr>
              <w:widowControl w:val="0"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85781E">
              <w:rPr>
                <w:rFonts w:eastAsia="Times New Roman"/>
                <w:color w:val="000000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</w:t>
            </w:r>
            <w:r w:rsidRPr="0085781E">
              <w:rPr>
                <w:rFonts w:eastAsia="Times New Roman"/>
                <w:color w:val="000000"/>
                <w:lang w:eastAsia="ar-SA"/>
              </w:rPr>
              <w:lastRenderedPageBreak/>
              <w:t xml:space="preserve">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85781E">
              <w:rPr>
                <w:rFonts w:eastAsia="Times New Roman"/>
                <w:color w:val="000000"/>
                <w:lang w:eastAsia="ar-SA"/>
              </w:rPr>
              <w:t>абилитации</w:t>
            </w:r>
            <w:proofErr w:type="spellEnd"/>
            <w:r w:rsidRPr="0085781E">
              <w:rPr>
                <w:rFonts w:eastAsia="Times New Roman"/>
                <w:color w:val="000000"/>
                <w:lang w:eastAsia="ar-SA"/>
              </w:rPr>
              <w:t xml:space="preserve"> инвалида</w:t>
            </w:r>
          </w:p>
        </w:tc>
        <w:tc>
          <w:tcPr>
            <w:tcW w:w="5183" w:type="dxa"/>
          </w:tcPr>
          <w:p w14:paraId="3A799BFF" w14:textId="5E8AB6D4" w:rsidR="0085781E" w:rsidRPr="0085781E" w:rsidRDefault="008651B9" w:rsidP="0085781E">
            <w:pPr>
              <w:widowControl w:val="0"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651B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  <w:bookmarkStart w:id="0" w:name="_GoBack"/>
            <w:bookmarkEnd w:id="0"/>
          </w:p>
        </w:tc>
        <w:tc>
          <w:tcPr>
            <w:tcW w:w="1065" w:type="dxa"/>
          </w:tcPr>
          <w:p w14:paraId="6662635F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Количество (объем.)</w:t>
            </w:r>
          </w:p>
        </w:tc>
        <w:tc>
          <w:tcPr>
            <w:tcW w:w="877" w:type="dxa"/>
          </w:tcPr>
          <w:p w14:paraId="678B1644" w14:textId="77777777" w:rsidR="0085781E" w:rsidRPr="0085781E" w:rsidRDefault="0085781E" w:rsidP="0085781E">
            <w:pPr>
              <w:keepLines/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2" w:type="dxa"/>
          </w:tcPr>
          <w:p w14:paraId="5DE217FA" w14:textId="77777777" w:rsidR="0085781E" w:rsidRPr="0085781E" w:rsidRDefault="0085781E" w:rsidP="0085781E">
            <w:pPr>
              <w:keepLines/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Цена за ед. изм.</w:t>
            </w:r>
            <w:r w:rsidRPr="0085781E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587" w:type="dxa"/>
          </w:tcPr>
          <w:p w14:paraId="45BEB387" w14:textId="77777777" w:rsidR="0085781E" w:rsidRPr="0085781E" w:rsidRDefault="0085781E" w:rsidP="0085781E">
            <w:pPr>
              <w:keepLines/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Цена по позиции</w:t>
            </w:r>
            <w:r w:rsidRPr="0085781E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руб.</w:t>
            </w:r>
          </w:p>
        </w:tc>
      </w:tr>
      <w:tr w:rsidR="0085781E" w:rsidRPr="0085781E" w14:paraId="33290501" w14:textId="77777777" w:rsidTr="00F91BEA">
        <w:trPr>
          <w:trHeight w:val="1259"/>
        </w:trPr>
        <w:tc>
          <w:tcPr>
            <w:tcW w:w="614" w:type="dxa"/>
          </w:tcPr>
          <w:p w14:paraId="783D8815" w14:textId="77777777" w:rsidR="0085781E" w:rsidRPr="0085781E" w:rsidRDefault="0085781E" w:rsidP="0085781E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14:paraId="6B9A8330" w14:textId="77777777" w:rsidR="0085781E" w:rsidRPr="0085781E" w:rsidRDefault="0085781E" w:rsidP="0085781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656" w:type="dxa"/>
          </w:tcPr>
          <w:p w14:paraId="21A7C87E" w14:textId="77777777" w:rsidR="0085781E" w:rsidRPr="0085781E" w:rsidRDefault="0085781E" w:rsidP="0085781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183" w:type="dxa"/>
          </w:tcPr>
          <w:tbl>
            <w:tblPr>
              <w:tblStyle w:val="7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1595"/>
            </w:tblGrid>
            <w:tr w:rsidR="0085781E" w:rsidRPr="0085781E" w14:paraId="0A0E104B" w14:textId="77777777" w:rsidTr="00F91BEA">
              <w:trPr>
                <w:trHeight w:val="754"/>
              </w:trPr>
              <w:tc>
                <w:tcPr>
                  <w:tcW w:w="3323" w:type="dxa"/>
                </w:tcPr>
                <w:p w14:paraId="3CC34D96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95" w:type="dxa"/>
                </w:tcPr>
                <w:p w14:paraId="2B8435BB" w14:textId="77777777" w:rsidR="0085781E" w:rsidRPr="0085781E" w:rsidRDefault="0085781E" w:rsidP="0085781E">
                  <w:pPr>
                    <w:keepLines/>
                    <w:widowControl w:val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85781E" w:rsidRPr="0085781E" w14:paraId="07ABA2DD" w14:textId="77777777" w:rsidTr="00F91BEA">
              <w:trPr>
                <w:trHeight w:val="769"/>
              </w:trPr>
              <w:tc>
                <w:tcPr>
                  <w:tcW w:w="3323" w:type="dxa"/>
                </w:tcPr>
                <w:p w14:paraId="5893BA0D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Пара ремешков для крепления мочеприемников (мешков для сбора мочи) к ноге</w:t>
                  </w:r>
                </w:p>
              </w:tc>
              <w:tc>
                <w:tcPr>
                  <w:tcW w:w="1595" w:type="dxa"/>
                </w:tcPr>
                <w:p w14:paraId="36557664" w14:textId="77777777" w:rsidR="0085781E" w:rsidRPr="0085781E" w:rsidRDefault="0085781E" w:rsidP="0085781E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85781E" w:rsidRPr="0085781E" w14:paraId="2ADDF99A" w14:textId="77777777" w:rsidTr="00F91BEA">
              <w:trPr>
                <w:trHeight w:val="1011"/>
              </w:trPr>
              <w:tc>
                <w:tcPr>
                  <w:tcW w:w="3323" w:type="dxa"/>
                </w:tcPr>
                <w:p w14:paraId="5E93A52A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Ремешки для крепления ножных мешков на ноге регулируются по длине.</w:t>
                  </w:r>
                </w:p>
              </w:tc>
              <w:tc>
                <w:tcPr>
                  <w:tcW w:w="1595" w:type="dxa"/>
                </w:tcPr>
                <w:p w14:paraId="613434E4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85781E" w:rsidRPr="0085781E" w14:paraId="3C982CC4" w14:textId="77777777" w:rsidTr="00F91BEA">
              <w:trPr>
                <w:trHeight w:val="1267"/>
              </w:trPr>
              <w:tc>
                <w:tcPr>
                  <w:tcW w:w="3323" w:type="dxa"/>
                </w:tcPr>
                <w:p w14:paraId="20BD5C91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Ремешки предназначены для крепления мочеприемников на ноге, обеспечивая их комфортное, незаметное ношение и надежную фиксацию.</w:t>
                  </w:r>
                </w:p>
              </w:tc>
              <w:tc>
                <w:tcPr>
                  <w:tcW w:w="1595" w:type="dxa"/>
                </w:tcPr>
                <w:p w14:paraId="1B94F56E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85781E" w:rsidRPr="0085781E" w14:paraId="75B253D9" w14:textId="77777777" w:rsidTr="00F91BEA">
              <w:trPr>
                <w:trHeight w:val="754"/>
              </w:trPr>
              <w:tc>
                <w:tcPr>
                  <w:tcW w:w="3323" w:type="dxa"/>
                </w:tcPr>
                <w:p w14:paraId="34FA30B3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Ремешки изготовлены из эластичного, износостойкого и </w:t>
                  </w:r>
                  <w:proofErr w:type="spellStart"/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гипоаллергенного</w:t>
                  </w:r>
                  <w:proofErr w:type="spellEnd"/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материала.</w:t>
                  </w:r>
                </w:p>
              </w:tc>
              <w:tc>
                <w:tcPr>
                  <w:tcW w:w="1595" w:type="dxa"/>
                </w:tcPr>
                <w:p w14:paraId="7D2B002A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85781E" w:rsidRPr="0085781E" w14:paraId="078B4561" w14:textId="77777777" w:rsidTr="00F91BEA">
              <w:trPr>
                <w:trHeight w:val="769"/>
              </w:trPr>
              <w:tc>
                <w:tcPr>
                  <w:tcW w:w="3323" w:type="dxa"/>
                </w:tcPr>
                <w:p w14:paraId="5547B121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В упаковке имеется 2 ремешка для фиксации верхней и нижней частей мочеприемника)</w:t>
                  </w:r>
                </w:p>
              </w:tc>
              <w:tc>
                <w:tcPr>
                  <w:tcW w:w="1595" w:type="dxa"/>
                </w:tcPr>
                <w:p w14:paraId="3A631E39" w14:textId="77777777" w:rsidR="0085781E" w:rsidRPr="0085781E" w:rsidRDefault="0085781E" w:rsidP="0085781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5781E">
                    <w:rPr>
                      <w:rFonts w:eastAsia="Times New Roman"/>
                      <w:color w:val="000000"/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04F15775" w14:textId="77777777" w:rsidR="0085781E" w:rsidRPr="0085781E" w:rsidRDefault="0085781E" w:rsidP="008578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39B4E657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21 744</w:t>
            </w:r>
          </w:p>
        </w:tc>
        <w:tc>
          <w:tcPr>
            <w:tcW w:w="877" w:type="dxa"/>
          </w:tcPr>
          <w:p w14:paraId="6BF57257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14:paraId="42307289" w14:textId="77777777" w:rsidR="0085781E" w:rsidRPr="0085781E" w:rsidRDefault="0085781E" w:rsidP="0085781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587" w:type="dxa"/>
          </w:tcPr>
          <w:p w14:paraId="57A6C038" w14:textId="77777777" w:rsidR="0085781E" w:rsidRPr="0085781E" w:rsidRDefault="0085781E" w:rsidP="0085781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78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3 261 600,00</w:t>
            </w:r>
          </w:p>
        </w:tc>
      </w:tr>
      <w:tr w:rsidR="0085781E" w:rsidRPr="0085781E" w14:paraId="3C2558E4" w14:textId="77777777" w:rsidTr="00F91BEA">
        <w:trPr>
          <w:trHeight w:val="513"/>
        </w:trPr>
        <w:tc>
          <w:tcPr>
            <w:tcW w:w="10438" w:type="dxa"/>
            <w:gridSpan w:val="4"/>
          </w:tcPr>
          <w:p w14:paraId="47B1B6FA" w14:textId="77777777" w:rsidR="0085781E" w:rsidRPr="0085781E" w:rsidRDefault="0085781E" w:rsidP="0085781E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65" w:type="dxa"/>
          </w:tcPr>
          <w:p w14:paraId="07C576D5" w14:textId="77777777" w:rsidR="0085781E" w:rsidRPr="0085781E" w:rsidRDefault="0085781E" w:rsidP="0085781E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85781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21 744</w:t>
            </w:r>
          </w:p>
        </w:tc>
        <w:tc>
          <w:tcPr>
            <w:tcW w:w="877" w:type="dxa"/>
          </w:tcPr>
          <w:p w14:paraId="3D6C6CF8" w14:textId="77777777" w:rsidR="0085781E" w:rsidRPr="0085781E" w:rsidRDefault="0085781E" w:rsidP="0085781E">
            <w:pPr>
              <w:widowControl w:val="0"/>
              <w:ind w:left="29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39D4AA7" w14:textId="77777777" w:rsidR="0085781E" w:rsidRPr="0085781E" w:rsidRDefault="0085781E" w:rsidP="0085781E">
            <w:pPr>
              <w:widowControl w:val="0"/>
              <w:ind w:left="29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</w:tcPr>
          <w:p w14:paraId="44459301" w14:textId="77777777" w:rsidR="0085781E" w:rsidRPr="0085781E" w:rsidRDefault="0085781E" w:rsidP="0085781E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81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3 261 600,00</w:t>
            </w:r>
          </w:p>
        </w:tc>
      </w:tr>
    </w:tbl>
    <w:p w14:paraId="7FD00043" w14:textId="77777777" w:rsidR="0085781E" w:rsidRPr="0085781E" w:rsidRDefault="0085781E" w:rsidP="0085781E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</w:p>
    <w:p w14:paraId="00804F0D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C627AF">
        <w:rPr>
          <w:b/>
          <w:color w:val="auto"/>
          <w:szCs w:val="24"/>
          <w:u w:val="single"/>
          <w:lang w:eastAsia="ar-SA"/>
        </w:rPr>
        <w:lastRenderedPageBreak/>
        <w:t>Срок поставки товара:</w:t>
      </w:r>
    </w:p>
    <w:p w14:paraId="55655A19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Поставка Товара Получателям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18.07.2024.</w:t>
      </w:r>
    </w:p>
    <w:p w14:paraId="2C3E49A6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 xml:space="preserve">В течение 10 (Десяти) календарных дней с даты подписания Контракта предоставить на склад Поставщика, расположенный на территории Краснодарского края 30% от общего количества Товара. </w:t>
      </w:r>
    </w:p>
    <w:p w14:paraId="6C9C3F11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До 01.05.2024 на складе Поставщика, расположенном на территории Краснодарского края, должно быть 100% от общего количества товара.</w:t>
      </w:r>
    </w:p>
    <w:p w14:paraId="412C603E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5E75081B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4AC4EEFE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</w:p>
    <w:p w14:paraId="0011516E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C627AF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336DA38E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Краснодарский край:</w:t>
      </w:r>
    </w:p>
    <w:p w14:paraId="10285A14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7146A0F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14:paraId="6535B583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Пункты выдачи   организованы Поставщиком в г. Краснодар (2 пункта),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58814A5D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Пункты выдачи товара, организованные Поставщиком, соответствуют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730EC193" w14:textId="77777777" w:rsidR="00C627AF" w:rsidRPr="00C627AF" w:rsidRDefault="00C627AF" w:rsidP="00C627A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График работы пунктов выдачи обеспечивает возможность передачи Товара Получателям в каждом пункте 5 (Пять) дней в неделю, 40 (сорок) часов в неделю, включая работу в один из выходных дней, при этом время работы каждого пункта попадает в интервал с 08:00 до 20:00. В пунктах выдачи находятся представители Поставщика для возможности предоставления инвалидам консультаций по техническим характеристикам Товара. Пункты выдачи товара соответствуют требованиям и стандартам, предъявляемым к условиям хранения товаров медицинского и санитарно-гигиенического назначения.</w:t>
      </w:r>
    </w:p>
    <w:p w14:paraId="182524E8" w14:textId="77777777" w:rsidR="00C627AF" w:rsidRPr="00C627AF" w:rsidRDefault="00C627AF" w:rsidP="00C627AF">
      <w:pPr>
        <w:suppressAutoHyphens/>
        <w:spacing w:after="0" w:line="240" w:lineRule="auto"/>
        <w:ind w:firstLine="567"/>
        <w:jc w:val="both"/>
        <w:rPr>
          <w:b/>
          <w:color w:val="auto"/>
          <w:szCs w:val="24"/>
          <w:lang w:eastAsia="ar-SA"/>
        </w:rPr>
      </w:pPr>
      <w:r w:rsidRPr="00C627AF">
        <w:rPr>
          <w:color w:val="auto"/>
          <w:szCs w:val="24"/>
          <w:lang w:eastAsia="ar-SA"/>
        </w:rPr>
        <w:t>Должно быть соответствие ГОСТ Р 52770-2023, ГОСТ Р 58235-2022, ГОСТ Р 58237-2022.</w:t>
      </w:r>
    </w:p>
    <w:p w14:paraId="30A5F3CC" w14:textId="77777777" w:rsidR="00205687" w:rsidRPr="00DE0184" w:rsidRDefault="00205687" w:rsidP="00C627AF">
      <w:pPr>
        <w:keepLines/>
        <w:widowControl w:val="0"/>
        <w:suppressAutoHyphens/>
        <w:spacing w:after="0" w:line="240" w:lineRule="auto"/>
        <w:jc w:val="both"/>
        <w:rPr>
          <w:b/>
          <w:szCs w:val="24"/>
        </w:rPr>
      </w:pPr>
    </w:p>
    <w:sectPr w:rsidR="00205687" w:rsidRPr="00DE0184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5A41380" w14:textId="77777777" w:rsidR="0085781E" w:rsidRDefault="0085781E" w:rsidP="0085781E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28CC4BE" w14:textId="77777777" w:rsidR="0085781E" w:rsidRDefault="0085781E" w:rsidP="0085781E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20F46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3EAD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59EB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A6A89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5781E"/>
    <w:rsid w:val="008651B9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3ED2"/>
    <w:rsid w:val="009F45BB"/>
    <w:rsid w:val="009F7006"/>
    <w:rsid w:val="00A25E32"/>
    <w:rsid w:val="00A36483"/>
    <w:rsid w:val="00A367F1"/>
    <w:rsid w:val="00A41014"/>
    <w:rsid w:val="00A464C9"/>
    <w:rsid w:val="00A635A4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27AF"/>
    <w:rsid w:val="00C67BED"/>
    <w:rsid w:val="00C761F4"/>
    <w:rsid w:val="00C96859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221B"/>
    <w:rsid w:val="00DA5907"/>
    <w:rsid w:val="00DC02BF"/>
    <w:rsid w:val="00DC615A"/>
    <w:rsid w:val="00DD390A"/>
    <w:rsid w:val="00DE0184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DD9F-2732-4492-9678-A10C93F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A635A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7689-5CBB-48B0-BDE5-9C5FF8F5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190</cp:revision>
  <dcterms:created xsi:type="dcterms:W3CDTF">2021-12-29T15:28:00Z</dcterms:created>
  <dcterms:modified xsi:type="dcterms:W3CDTF">2024-03-13T06:57:00Z</dcterms:modified>
</cp:coreProperties>
</file>