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D262A6" w:rsidRPr="00D262A6">
        <w:rPr>
          <w:rFonts w:eastAsia="Calibri"/>
          <w:b/>
          <w:sz w:val="24"/>
          <w:szCs w:val="24"/>
          <w:lang w:eastAsia="en-US"/>
        </w:rPr>
        <w:t xml:space="preserve">специальных средств при нарушении функций выделения 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50378B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4F5C95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0</w:t>
      </w:r>
      <w:r w:rsidR="00B25F62">
        <w:rPr>
          <w:rFonts w:eastAsia="Lucida Sans Unicode"/>
          <w:kern w:val="3"/>
          <w:sz w:val="24"/>
          <w:szCs w:val="24"/>
          <w:lang w:eastAsia="zh-CN" w:bidi="hi-IN"/>
        </w:rPr>
        <w:t>5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</w:t>
      </w:r>
      <w:r w:rsidR="00B25F62">
        <w:rPr>
          <w:rFonts w:eastAsia="Lucida Sans Unicode"/>
          <w:kern w:val="3"/>
          <w:sz w:val="24"/>
          <w:szCs w:val="24"/>
          <w:lang w:eastAsia="zh-CN" w:bidi="hi-IN"/>
        </w:rPr>
        <w:t>2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4F5C95">
        <w:rPr>
          <w:rFonts w:eastAsia="Lucida Sans Unicode"/>
          <w:kern w:val="3"/>
          <w:sz w:val="24"/>
          <w:szCs w:val="24"/>
          <w:lang w:eastAsia="zh-CN" w:bidi="hi-IN"/>
        </w:rPr>
        <w:t>10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B25F62">
        <w:rPr>
          <w:rFonts w:eastAsia="Lucida Sans Unicode"/>
          <w:kern w:val="3"/>
          <w:sz w:val="24"/>
          <w:szCs w:val="24"/>
          <w:lang w:eastAsia="zh-CN" w:bidi="hi-IN"/>
        </w:rPr>
        <w:t>11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C567B0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9A5E1D" w:rsidRPr="002968FF" w:rsidTr="00C567B0">
        <w:trPr>
          <w:trHeight w:val="303"/>
        </w:trPr>
        <w:tc>
          <w:tcPr>
            <w:tcW w:w="567" w:type="dxa"/>
          </w:tcPr>
          <w:p w:rsidR="009A5E1D" w:rsidRDefault="009A5E1D" w:rsidP="009A5E1D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9A5E1D" w:rsidRDefault="009A5E1D" w:rsidP="009A5E1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820AB3">
              <w:rPr>
                <w:sz w:val="24"/>
                <w:szCs w:val="24"/>
              </w:rPr>
              <w:t>Очиститель для кожи в форме салфеток, не менее 30 шт.</w:t>
            </w:r>
          </w:p>
          <w:p w:rsidR="009A5E1D" w:rsidRDefault="009A5E1D" w:rsidP="009A5E1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9A5E1D" w:rsidRDefault="009A5E1D" w:rsidP="009A5E1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21-01-36</w:t>
            </w:r>
          </w:p>
          <w:p w:rsidR="009A5E1D" w:rsidRDefault="009A5E1D" w:rsidP="009A5E1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9A5E1D" w:rsidRPr="00C567B0" w:rsidRDefault="009A5E1D" w:rsidP="009A5E1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32.50.13.190-00006911</w:t>
            </w:r>
          </w:p>
        </w:tc>
        <w:tc>
          <w:tcPr>
            <w:tcW w:w="5245" w:type="dxa"/>
            <w:shd w:val="clear" w:color="auto" w:fill="auto"/>
          </w:tcPr>
          <w:p w:rsidR="009A5E1D" w:rsidRPr="00C567B0" w:rsidRDefault="009A5E1D" w:rsidP="009A5E1D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820AB3">
              <w:rPr>
                <w:sz w:val="24"/>
                <w:szCs w:val="24"/>
              </w:rPr>
              <w:t xml:space="preserve">Очиститель для кожи вокруг </w:t>
            </w:r>
            <w:proofErr w:type="spellStart"/>
            <w:r w:rsidRPr="00820AB3">
              <w:rPr>
                <w:sz w:val="24"/>
                <w:szCs w:val="24"/>
              </w:rPr>
              <w:t>стомы</w:t>
            </w:r>
            <w:proofErr w:type="spellEnd"/>
            <w:r w:rsidRPr="00820AB3">
              <w:rPr>
                <w:sz w:val="24"/>
                <w:szCs w:val="24"/>
              </w:rPr>
              <w:t xml:space="preserve"> — очищающее средство, заменяющее мыло и воду, растворители и другие агрессивные</w:t>
            </w:r>
            <w:r>
              <w:rPr>
                <w:sz w:val="24"/>
                <w:szCs w:val="24"/>
              </w:rPr>
              <w:t xml:space="preserve"> или высушивающие кожу вещества, должно</w:t>
            </w:r>
            <w:r w:rsidRPr="00820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20AB3">
              <w:rPr>
                <w:sz w:val="24"/>
                <w:szCs w:val="24"/>
              </w:rPr>
              <w:t>озволят</w:t>
            </w:r>
            <w:r>
              <w:rPr>
                <w:sz w:val="24"/>
                <w:szCs w:val="24"/>
              </w:rPr>
              <w:t>ь</w:t>
            </w:r>
            <w:r w:rsidRPr="00820AB3">
              <w:rPr>
                <w:sz w:val="24"/>
                <w:szCs w:val="24"/>
              </w:rPr>
              <w:t xml:space="preserve"> безопасно удалить </w:t>
            </w:r>
            <w:r>
              <w:rPr>
                <w:sz w:val="24"/>
                <w:szCs w:val="24"/>
              </w:rPr>
              <w:t xml:space="preserve">остатки </w:t>
            </w:r>
            <w:proofErr w:type="spellStart"/>
            <w:r w:rsidRPr="00820AB3">
              <w:rPr>
                <w:sz w:val="24"/>
                <w:szCs w:val="24"/>
              </w:rPr>
              <w:t>адгезивов</w:t>
            </w:r>
            <w:proofErr w:type="spellEnd"/>
            <w:r w:rsidRPr="00820AB3">
              <w:rPr>
                <w:sz w:val="24"/>
                <w:szCs w:val="24"/>
              </w:rPr>
              <w:t xml:space="preserve"> и других средств ухода за кожей, комфортно обеспечивать гигиену кожи вокруг </w:t>
            </w:r>
            <w:proofErr w:type="spellStart"/>
            <w:r w:rsidRPr="00820AB3">
              <w:rPr>
                <w:sz w:val="24"/>
                <w:szCs w:val="24"/>
              </w:rPr>
              <w:t>стомы</w:t>
            </w:r>
            <w:proofErr w:type="spellEnd"/>
            <w:r w:rsidRPr="00820AB3">
              <w:rPr>
                <w:sz w:val="24"/>
                <w:szCs w:val="24"/>
              </w:rPr>
              <w:t xml:space="preserve">. Мягкие, нетканые целлюлозные салфетки, пропитанные раствором. Каждая салфетка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820AB3">
              <w:rPr>
                <w:sz w:val="24"/>
                <w:szCs w:val="24"/>
              </w:rPr>
              <w:t>предназначена для однократного применения. Наличие специальной засечки на каждом блистере для легкого вскрытия. Каждая салфетка должна быть в индивидуальной блистерной упаковке, что способствует надежному сохранению действующего раствора на протяжении всего срока годности.</w:t>
            </w:r>
          </w:p>
        </w:tc>
        <w:tc>
          <w:tcPr>
            <w:tcW w:w="1134" w:type="dxa"/>
            <w:shd w:val="clear" w:color="auto" w:fill="auto"/>
          </w:tcPr>
          <w:p w:rsidR="009A5E1D" w:rsidRDefault="009A5E1D" w:rsidP="009A5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56 700</w:t>
            </w:r>
          </w:p>
        </w:tc>
      </w:tr>
      <w:tr w:rsidR="00077DEE" w:rsidRPr="002968FF" w:rsidTr="001653A3">
        <w:trPr>
          <w:trHeight w:val="25"/>
        </w:trPr>
        <w:tc>
          <w:tcPr>
            <w:tcW w:w="8821" w:type="dxa"/>
            <w:gridSpan w:val="3"/>
          </w:tcPr>
          <w:p w:rsidR="00077DEE" w:rsidRPr="002968FF" w:rsidRDefault="00077DEE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7DEE" w:rsidRPr="002968FF" w:rsidRDefault="009A5E1D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56 700</w:t>
            </w:r>
          </w:p>
        </w:tc>
      </w:tr>
    </w:tbl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  <w:bookmarkStart w:id="0" w:name="_GoBack"/>
      <w:bookmarkEnd w:id="0"/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lastRenderedPageBreak/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требованиям Национальных стандартов: ГОСТ Р 52770-2016 «Изделия медицинские. Требования безопасности. Методы санитарно-химических и токсикологических испытаний», ГОСТ Р 58235-2022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>Специальные средства при нарушении функции выделения. Термины и определения. Классификация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, ГОСТ Р 58237-2022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 xml:space="preserve">Средства ухода за кишечными </w:t>
      </w:r>
      <w:proofErr w:type="spellStart"/>
      <w:r w:rsidRPr="00D4271A">
        <w:rPr>
          <w:bCs/>
          <w:sz w:val="24"/>
          <w:szCs w:val="24"/>
          <w:lang w:eastAsia="ru-RU"/>
        </w:rPr>
        <w:t>стомами</w:t>
      </w:r>
      <w:proofErr w:type="spellEnd"/>
      <w:r w:rsidRPr="00D4271A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Pr="00D4271A">
        <w:rPr>
          <w:bCs/>
          <w:sz w:val="24"/>
          <w:szCs w:val="24"/>
          <w:lang w:eastAsia="ru-RU"/>
        </w:rPr>
        <w:t>стомы</w:t>
      </w:r>
      <w:proofErr w:type="spellEnd"/>
      <w:r w:rsidRPr="00D4271A">
        <w:rPr>
          <w:bCs/>
          <w:sz w:val="24"/>
          <w:szCs w:val="24"/>
          <w:lang w:eastAsia="ru-RU"/>
        </w:rPr>
        <w:t>. Характеристики и основные требования. Методы испытаний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; Межгосударственных стандартов: ГОСТ ISO 10993-1-20</w:t>
      </w:r>
      <w:r>
        <w:rPr>
          <w:bCs/>
          <w:sz w:val="24"/>
          <w:szCs w:val="24"/>
          <w:lang w:eastAsia="ru-RU"/>
        </w:rPr>
        <w:t>21</w:t>
      </w:r>
      <w:r w:rsidRPr="00D4271A">
        <w:rPr>
          <w:bCs/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1. Оценка и исследован</w:t>
      </w:r>
      <w:r w:rsidR="006F46ED">
        <w:rPr>
          <w:bCs/>
          <w:sz w:val="24"/>
          <w:szCs w:val="24"/>
          <w:lang w:eastAsia="ru-RU"/>
        </w:rPr>
        <w:t>ия в процессе менеджмента риска</w:t>
      </w:r>
      <w:r w:rsidRPr="00D4271A">
        <w:rPr>
          <w:bCs/>
          <w:sz w:val="24"/>
          <w:szCs w:val="24"/>
          <w:lang w:eastAsia="ru-RU"/>
        </w:rPr>
        <w:t xml:space="preserve">», ГОСТ ISO 10993-5-2011 «Оценка биологического действия медицинских изделий. Часть 5. Исследования на </w:t>
      </w:r>
      <w:proofErr w:type="spellStart"/>
      <w:r w:rsidRPr="00D4271A">
        <w:rPr>
          <w:bCs/>
          <w:sz w:val="24"/>
          <w:szCs w:val="24"/>
          <w:lang w:eastAsia="ru-RU"/>
        </w:rPr>
        <w:t>цитотоксичность</w:t>
      </w:r>
      <w:proofErr w:type="spellEnd"/>
      <w:r w:rsidRPr="00D4271A">
        <w:rPr>
          <w:bCs/>
          <w:sz w:val="24"/>
          <w:szCs w:val="24"/>
          <w:lang w:eastAsia="ru-RU"/>
        </w:rPr>
        <w:t xml:space="preserve">: методы </w:t>
      </w:r>
      <w:proofErr w:type="spellStart"/>
      <w:r w:rsidRPr="00D4271A">
        <w:rPr>
          <w:bCs/>
          <w:sz w:val="24"/>
          <w:szCs w:val="24"/>
          <w:lang w:eastAsia="ru-RU"/>
        </w:rPr>
        <w:t>in</w:t>
      </w:r>
      <w:proofErr w:type="spellEnd"/>
      <w:r w:rsidRPr="00D4271A">
        <w:rPr>
          <w:bCs/>
          <w:sz w:val="24"/>
          <w:szCs w:val="24"/>
          <w:lang w:eastAsia="ru-RU"/>
        </w:rPr>
        <w:t xml:space="preserve"> </w:t>
      </w:r>
      <w:proofErr w:type="spellStart"/>
      <w:r w:rsidRPr="00D4271A">
        <w:rPr>
          <w:bCs/>
          <w:sz w:val="24"/>
          <w:szCs w:val="24"/>
          <w:lang w:eastAsia="ru-RU"/>
        </w:rPr>
        <w:t>vitro</w:t>
      </w:r>
      <w:proofErr w:type="spellEnd"/>
      <w:r w:rsidRPr="00D4271A">
        <w:rPr>
          <w:bCs/>
          <w:sz w:val="24"/>
          <w:szCs w:val="24"/>
          <w:lang w:eastAsia="ru-RU"/>
        </w:rPr>
        <w:t>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</w:t>
      </w:r>
      <w:proofErr w:type="gramStart"/>
      <w:r w:rsidRPr="00D4271A">
        <w:rPr>
          <w:bCs/>
          <w:sz w:val="24"/>
          <w:szCs w:val="24"/>
          <w:lang w:eastAsia="ru-RU"/>
        </w:rPr>
        <w:t xml:space="preserve">герметичность;   </w:t>
      </w:r>
      <w:proofErr w:type="gramEnd"/>
      <w:r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5E27D7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5E27D7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1311E0" w:rsidRPr="00D4271A" w:rsidRDefault="001311E0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311E0">
        <w:rPr>
          <w:bCs/>
          <w:sz w:val="24"/>
          <w:szCs w:val="24"/>
          <w:lang w:eastAsia="ru-RU"/>
        </w:rPr>
        <w:t>Товар долж</w:t>
      </w:r>
      <w:r w:rsidR="00F86BA8">
        <w:rPr>
          <w:bCs/>
          <w:sz w:val="24"/>
          <w:szCs w:val="24"/>
          <w:lang w:eastAsia="ru-RU"/>
        </w:rPr>
        <w:t xml:space="preserve">ен </w:t>
      </w:r>
      <w:r w:rsidRPr="001311E0">
        <w:rPr>
          <w:bCs/>
          <w:sz w:val="24"/>
          <w:szCs w:val="24"/>
          <w:lang w:eastAsia="ru-RU"/>
        </w:rPr>
        <w:t>иметь действующ</w:t>
      </w:r>
      <w:r w:rsidR="00F86BA8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е регистрационн</w:t>
      </w:r>
      <w:r w:rsidR="00F86BA8">
        <w:rPr>
          <w:bCs/>
          <w:sz w:val="24"/>
          <w:szCs w:val="24"/>
          <w:lang w:eastAsia="ru-RU"/>
        </w:rPr>
        <w:t>о</w:t>
      </w:r>
      <w:r w:rsidRPr="001311E0">
        <w:rPr>
          <w:bCs/>
          <w:sz w:val="24"/>
          <w:szCs w:val="24"/>
          <w:lang w:eastAsia="ru-RU"/>
        </w:rPr>
        <w:t>е удостоверени</w:t>
      </w:r>
      <w:r w:rsidR="00F86BA8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, выданн</w:t>
      </w:r>
      <w:r w:rsidR="00F86BA8">
        <w:rPr>
          <w:bCs/>
          <w:sz w:val="24"/>
          <w:szCs w:val="24"/>
          <w:lang w:eastAsia="ru-RU"/>
        </w:rPr>
        <w:t>ое</w:t>
      </w:r>
      <w:r w:rsidRPr="001311E0">
        <w:rPr>
          <w:bCs/>
          <w:sz w:val="24"/>
          <w:szCs w:val="24"/>
          <w:lang w:eastAsia="ru-RU"/>
        </w:rPr>
        <w:t xml:space="preserve"> Федеральной службой по надзору в сфере здравоохранения</w:t>
      </w:r>
      <w:r w:rsidR="00944788">
        <w:rPr>
          <w:bCs/>
          <w:sz w:val="24"/>
          <w:szCs w:val="24"/>
          <w:lang w:eastAsia="ru-RU"/>
        </w:rPr>
        <w:t>.</w:t>
      </w:r>
    </w:p>
    <w:sectPr w:rsidR="001311E0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12507"/>
    <w:rsid w:val="000213E9"/>
    <w:rsid w:val="00030F48"/>
    <w:rsid w:val="00042BDF"/>
    <w:rsid w:val="000707E6"/>
    <w:rsid w:val="00077DEE"/>
    <w:rsid w:val="00080FB1"/>
    <w:rsid w:val="000814FF"/>
    <w:rsid w:val="00084C79"/>
    <w:rsid w:val="000A1696"/>
    <w:rsid w:val="000B0328"/>
    <w:rsid w:val="000B46FC"/>
    <w:rsid w:val="000C10B0"/>
    <w:rsid w:val="000C59C7"/>
    <w:rsid w:val="000D2C2D"/>
    <w:rsid w:val="000D36DD"/>
    <w:rsid w:val="000D68AF"/>
    <w:rsid w:val="000E757D"/>
    <w:rsid w:val="000E7963"/>
    <w:rsid w:val="00101DFF"/>
    <w:rsid w:val="0011366E"/>
    <w:rsid w:val="00115EDE"/>
    <w:rsid w:val="001311E0"/>
    <w:rsid w:val="00151526"/>
    <w:rsid w:val="0015581C"/>
    <w:rsid w:val="001567EC"/>
    <w:rsid w:val="00156860"/>
    <w:rsid w:val="001620E9"/>
    <w:rsid w:val="001653A3"/>
    <w:rsid w:val="00166746"/>
    <w:rsid w:val="00170592"/>
    <w:rsid w:val="00190819"/>
    <w:rsid w:val="00192F78"/>
    <w:rsid w:val="00196A9E"/>
    <w:rsid w:val="001A0D08"/>
    <w:rsid w:val="001A10C4"/>
    <w:rsid w:val="001C75D5"/>
    <w:rsid w:val="001D4B14"/>
    <w:rsid w:val="001E417A"/>
    <w:rsid w:val="001F1DF6"/>
    <w:rsid w:val="00227144"/>
    <w:rsid w:val="0023287A"/>
    <w:rsid w:val="00235ABD"/>
    <w:rsid w:val="0023639C"/>
    <w:rsid w:val="0024333A"/>
    <w:rsid w:val="00244898"/>
    <w:rsid w:val="0024717E"/>
    <w:rsid w:val="0025360F"/>
    <w:rsid w:val="00273CFE"/>
    <w:rsid w:val="00274B51"/>
    <w:rsid w:val="00287AF1"/>
    <w:rsid w:val="0029409F"/>
    <w:rsid w:val="002968FF"/>
    <w:rsid w:val="002A7A1E"/>
    <w:rsid w:val="002B331D"/>
    <w:rsid w:val="002E49EC"/>
    <w:rsid w:val="002E5197"/>
    <w:rsid w:val="002F21A9"/>
    <w:rsid w:val="00303D3C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239E"/>
    <w:rsid w:val="0043492F"/>
    <w:rsid w:val="00437EA1"/>
    <w:rsid w:val="00450676"/>
    <w:rsid w:val="00450797"/>
    <w:rsid w:val="004564A0"/>
    <w:rsid w:val="004606B0"/>
    <w:rsid w:val="004747E0"/>
    <w:rsid w:val="004825A3"/>
    <w:rsid w:val="004834CE"/>
    <w:rsid w:val="00484532"/>
    <w:rsid w:val="00486BF7"/>
    <w:rsid w:val="004A1D8E"/>
    <w:rsid w:val="004D4770"/>
    <w:rsid w:val="004D5775"/>
    <w:rsid w:val="004F13DD"/>
    <w:rsid w:val="004F2238"/>
    <w:rsid w:val="004F5C95"/>
    <w:rsid w:val="0050229B"/>
    <w:rsid w:val="0050378B"/>
    <w:rsid w:val="00505605"/>
    <w:rsid w:val="005059C3"/>
    <w:rsid w:val="005115F1"/>
    <w:rsid w:val="00523BE1"/>
    <w:rsid w:val="0052741C"/>
    <w:rsid w:val="005342EE"/>
    <w:rsid w:val="0055161E"/>
    <w:rsid w:val="005837E1"/>
    <w:rsid w:val="00591A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7AB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860C9"/>
    <w:rsid w:val="006A7035"/>
    <w:rsid w:val="006C1AE6"/>
    <w:rsid w:val="006D1C91"/>
    <w:rsid w:val="006E2B9C"/>
    <w:rsid w:val="006F46ED"/>
    <w:rsid w:val="0070614B"/>
    <w:rsid w:val="00706EF6"/>
    <w:rsid w:val="00713703"/>
    <w:rsid w:val="007201F8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90F49"/>
    <w:rsid w:val="007A1590"/>
    <w:rsid w:val="007A491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64971"/>
    <w:rsid w:val="0087220D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44788"/>
    <w:rsid w:val="009552DA"/>
    <w:rsid w:val="00964F0D"/>
    <w:rsid w:val="009A005C"/>
    <w:rsid w:val="009A32C3"/>
    <w:rsid w:val="009A58CE"/>
    <w:rsid w:val="009A5E1D"/>
    <w:rsid w:val="009B1F40"/>
    <w:rsid w:val="009B2C34"/>
    <w:rsid w:val="009B66AF"/>
    <w:rsid w:val="009C4B20"/>
    <w:rsid w:val="009C5CEE"/>
    <w:rsid w:val="009D7344"/>
    <w:rsid w:val="00A001BC"/>
    <w:rsid w:val="00A0336D"/>
    <w:rsid w:val="00A21066"/>
    <w:rsid w:val="00A27445"/>
    <w:rsid w:val="00A36CB0"/>
    <w:rsid w:val="00A4388A"/>
    <w:rsid w:val="00A44ADC"/>
    <w:rsid w:val="00A53A6D"/>
    <w:rsid w:val="00A604C0"/>
    <w:rsid w:val="00A75F66"/>
    <w:rsid w:val="00A80F91"/>
    <w:rsid w:val="00A93DCD"/>
    <w:rsid w:val="00A93E07"/>
    <w:rsid w:val="00AA04C6"/>
    <w:rsid w:val="00AA5CBB"/>
    <w:rsid w:val="00AB5046"/>
    <w:rsid w:val="00AC6707"/>
    <w:rsid w:val="00AD45CD"/>
    <w:rsid w:val="00AD6C5F"/>
    <w:rsid w:val="00AF1428"/>
    <w:rsid w:val="00AF20D7"/>
    <w:rsid w:val="00B04BFB"/>
    <w:rsid w:val="00B06439"/>
    <w:rsid w:val="00B11840"/>
    <w:rsid w:val="00B133E2"/>
    <w:rsid w:val="00B16071"/>
    <w:rsid w:val="00B25F62"/>
    <w:rsid w:val="00B3669C"/>
    <w:rsid w:val="00B36D4F"/>
    <w:rsid w:val="00B42777"/>
    <w:rsid w:val="00B4286A"/>
    <w:rsid w:val="00B45A2E"/>
    <w:rsid w:val="00B54FC3"/>
    <w:rsid w:val="00B63B50"/>
    <w:rsid w:val="00B6738F"/>
    <w:rsid w:val="00B73590"/>
    <w:rsid w:val="00B74FC1"/>
    <w:rsid w:val="00B76CE8"/>
    <w:rsid w:val="00B7748D"/>
    <w:rsid w:val="00B93F1F"/>
    <w:rsid w:val="00B96314"/>
    <w:rsid w:val="00C00E6D"/>
    <w:rsid w:val="00C01066"/>
    <w:rsid w:val="00C02782"/>
    <w:rsid w:val="00C05ADC"/>
    <w:rsid w:val="00C06866"/>
    <w:rsid w:val="00C143D2"/>
    <w:rsid w:val="00C24098"/>
    <w:rsid w:val="00C342A8"/>
    <w:rsid w:val="00C34C38"/>
    <w:rsid w:val="00C40AD5"/>
    <w:rsid w:val="00C42394"/>
    <w:rsid w:val="00C46C58"/>
    <w:rsid w:val="00C47ACD"/>
    <w:rsid w:val="00C567B0"/>
    <w:rsid w:val="00C70809"/>
    <w:rsid w:val="00C70AB6"/>
    <w:rsid w:val="00C941F0"/>
    <w:rsid w:val="00CD0250"/>
    <w:rsid w:val="00CE68B2"/>
    <w:rsid w:val="00CF0DEE"/>
    <w:rsid w:val="00CF6E35"/>
    <w:rsid w:val="00D02F58"/>
    <w:rsid w:val="00D05093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C05B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0DB3"/>
    <w:rsid w:val="00EB12C3"/>
    <w:rsid w:val="00EB2BF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3C13"/>
    <w:rsid w:val="00F456E2"/>
    <w:rsid w:val="00F46E27"/>
    <w:rsid w:val="00F56251"/>
    <w:rsid w:val="00F5652F"/>
    <w:rsid w:val="00F62C15"/>
    <w:rsid w:val="00F63D4E"/>
    <w:rsid w:val="00F640D1"/>
    <w:rsid w:val="00F70E7D"/>
    <w:rsid w:val="00F83413"/>
    <w:rsid w:val="00F86BA8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398C-5E9B-4D6E-981B-9BC79252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20</cp:revision>
  <cp:lastPrinted>2023-09-27T01:14:00Z</cp:lastPrinted>
  <dcterms:created xsi:type="dcterms:W3CDTF">2023-08-23T05:28:00Z</dcterms:created>
  <dcterms:modified xsi:type="dcterms:W3CDTF">2023-09-27T01:14:00Z</dcterms:modified>
</cp:coreProperties>
</file>