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02" w:rsidRDefault="00FF7902" w:rsidP="00FF7902">
      <w:pPr>
        <w:jc w:val="both"/>
        <w:rPr>
          <w:b/>
        </w:rPr>
      </w:pPr>
    </w:p>
    <w:p w:rsidR="00C13BAF" w:rsidRDefault="00C13BAF" w:rsidP="009A4C9B">
      <w:pPr>
        <w:spacing w:after="160" w:line="259" w:lineRule="auto"/>
        <w:jc w:val="both"/>
        <w:rPr>
          <w:b/>
          <w:bCs/>
          <w:kern w:val="1"/>
        </w:rPr>
      </w:pPr>
      <w:r>
        <w:rPr>
          <w:b/>
          <w:bCs/>
          <w:kern w:val="2"/>
        </w:rPr>
        <w:t>Место выполнения работ:</w:t>
      </w:r>
      <w:r w:rsidRPr="00C13BAF">
        <w:t xml:space="preserve"> </w:t>
      </w:r>
      <w:r w:rsidR="00D345B3" w:rsidRPr="00D345B3">
        <w:t>снятие мерок, примерка и выдача готовых Изделий в специализированных помещениях на территории Ханты-Мансийского автономного округа-Югры или по месту жительства Получателя (по согласованию с Получателем).</w:t>
      </w:r>
    </w:p>
    <w:p w:rsidR="006F603A" w:rsidRPr="006F603A" w:rsidRDefault="009226AD" w:rsidP="009A4C9B">
      <w:pPr>
        <w:spacing w:after="160" w:line="259" w:lineRule="auto"/>
        <w:jc w:val="both"/>
        <w:rPr>
          <w:rFonts w:eastAsia="Andale Sans UI"/>
          <w:kern w:val="1"/>
          <w:lang w:eastAsia="ar-SA"/>
        </w:rPr>
      </w:pPr>
      <w:r w:rsidRPr="006F603A">
        <w:rPr>
          <w:b/>
          <w:bCs/>
          <w:kern w:val="1"/>
        </w:rPr>
        <w:t xml:space="preserve">Сроки </w:t>
      </w:r>
      <w:r w:rsidR="001C1494" w:rsidRPr="006F603A">
        <w:rPr>
          <w:b/>
          <w:bCs/>
          <w:kern w:val="1"/>
        </w:rPr>
        <w:t>выполнения работ</w:t>
      </w:r>
      <w:r w:rsidRPr="006F603A">
        <w:rPr>
          <w:b/>
          <w:bCs/>
          <w:kern w:val="1"/>
        </w:rPr>
        <w:t xml:space="preserve">: </w:t>
      </w:r>
      <w:r w:rsidR="00F20102" w:rsidRPr="00F20102">
        <w:t>Выдать готовое изделие, соответствующее техническому заданию контракта непосредственно Получателю на основании направления в не более 60 календарных дней с момента получения от Заказчика списков Получателей, Последняя выдача Изделий Получателям в рамках государственного</w:t>
      </w:r>
      <w:bookmarkStart w:id="0" w:name="_GoBack"/>
      <w:bookmarkEnd w:id="0"/>
      <w:r w:rsidR="00F20102" w:rsidRPr="00F20102">
        <w:t xml:space="preserve"> контракта должна быть осуществлена не позднее 30 </w:t>
      </w:r>
      <w:r w:rsidR="00D345B3">
        <w:rPr>
          <w:rFonts w:eastAsia="Andale Sans UI"/>
          <w:kern w:val="2"/>
          <w:lang w:eastAsia="ar-SA"/>
        </w:rPr>
        <w:t>октября</w:t>
      </w:r>
      <w:r w:rsidR="0032596B">
        <w:rPr>
          <w:rFonts w:eastAsia="Andale Sans UI"/>
          <w:kern w:val="2"/>
          <w:lang w:eastAsia="ar-SA"/>
        </w:rPr>
        <w:t xml:space="preserve"> </w:t>
      </w:r>
      <w:r w:rsidR="00F20102" w:rsidRPr="00F20102">
        <w:t>2022</w:t>
      </w:r>
      <w:r w:rsidR="00D345B3">
        <w:t xml:space="preserve"> года</w:t>
      </w:r>
      <w:r w:rsidR="00F20102" w:rsidRPr="00F20102">
        <w:t>.</w:t>
      </w:r>
    </w:p>
    <w:p w:rsidR="00D7115C" w:rsidRDefault="00D7115C" w:rsidP="009A4C9B">
      <w:pPr>
        <w:spacing w:after="160" w:line="259" w:lineRule="auto"/>
        <w:jc w:val="both"/>
      </w:pPr>
      <w:r w:rsidRPr="00DB3240">
        <w:rPr>
          <w:b/>
        </w:rPr>
        <w:t>Наименование, характеристики и количество поставляемых товаров</w:t>
      </w:r>
      <w:r w:rsidRPr="00DB3240">
        <w:t>, объем выполняемых работ, оказываемых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659"/>
        <w:gridCol w:w="4935"/>
        <w:gridCol w:w="1647"/>
        <w:gridCol w:w="801"/>
        <w:gridCol w:w="667"/>
      </w:tblGrid>
      <w:tr w:rsidR="00D345B3" w:rsidRPr="0006251B" w:rsidTr="00D345B3">
        <w:trPr>
          <w:trHeight w:val="345"/>
        </w:trPr>
        <w:tc>
          <w:tcPr>
            <w:tcW w:w="227" w:type="pct"/>
            <w:vMerge w:val="restart"/>
            <w:vAlign w:val="center"/>
          </w:tcPr>
          <w:p w:rsidR="00D345B3" w:rsidRPr="0006251B" w:rsidRDefault="00D345B3" w:rsidP="00A17685">
            <w:pPr>
              <w:widowControl w:val="0"/>
              <w:suppressAutoHyphens/>
              <w:jc w:val="center"/>
              <w:rPr>
                <w:rFonts w:eastAsia="Lucida Sans Unicode" w:cs="Tahoma"/>
                <w:color w:val="000000"/>
                <w:kern w:val="1"/>
                <w:sz w:val="20"/>
                <w:szCs w:val="20"/>
                <w:lang w:val="en-US" w:eastAsia="en-US" w:bidi="en-US"/>
              </w:rPr>
            </w:pPr>
            <w:r w:rsidRPr="0006251B">
              <w:rPr>
                <w:rFonts w:eastAsia="Lucida Sans Unicode" w:cs="Tahoma"/>
                <w:color w:val="000000"/>
                <w:kern w:val="1"/>
                <w:sz w:val="20"/>
                <w:szCs w:val="20"/>
                <w:lang w:val="en-US" w:eastAsia="en-US" w:bidi="en-US"/>
              </w:rPr>
              <w:t>№</w:t>
            </w:r>
          </w:p>
          <w:p w:rsidR="00D345B3" w:rsidRPr="0006251B" w:rsidRDefault="00D345B3" w:rsidP="00A17685">
            <w:pPr>
              <w:widowControl w:val="0"/>
              <w:suppressAutoHyphens/>
              <w:jc w:val="center"/>
              <w:rPr>
                <w:rFonts w:eastAsia="Lucida Sans Unicode" w:cs="Tahoma"/>
                <w:color w:val="000000"/>
                <w:kern w:val="1"/>
                <w:sz w:val="20"/>
                <w:szCs w:val="20"/>
                <w:lang w:val="en-US" w:eastAsia="en-US" w:bidi="en-US"/>
              </w:rPr>
            </w:pPr>
            <w:r w:rsidRPr="0006251B">
              <w:rPr>
                <w:rFonts w:eastAsia="Lucida Sans Unicode" w:cs="Tahoma"/>
                <w:color w:val="000000"/>
                <w:kern w:val="1"/>
                <w:sz w:val="20"/>
                <w:szCs w:val="20"/>
                <w:lang w:val="en-US" w:eastAsia="en-US" w:bidi="en-US"/>
              </w:rPr>
              <w:t>п/п</w:t>
            </w:r>
          </w:p>
        </w:tc>
        <w:tc>
          <w:tcPr>
            <w:tcW w:w="816" w:type="pct"/>
            <w:vMerge w:val="restart"/>
            <w:vAlign w:val="center"/>
          </w:tcPr>
          <w:p w:rsidR="00D345B3" w:rsidRPr="0006251B" w:rsidRDefault="00D345B3" w:rsidP="00A17685">
            <w:pPr>
              <w:widowControl w:val="0"/>
              <w:suppressAutoHyphens/>
              <w:jc w:val="center"/>
              <w:rPr>
                <w:rFonts w:eastAsia="Lucida Sans Unicode" w:cs="Tahoma"/>
                <w:color w:val="000000"/>
                <w:kern w:val="1"/>
                <w:sz w:val="20"/>
                <w:szCs w:val="20"/>
                <w:lang w:val="en-US" w:eastAsia="en-US" w:bidi="en-US"/>
              </w:rPr>
            </w:pPr>
            <w:r w:rsidRPr="0006251B">
              <w:rPr>
                <w:rFonts w:eastAsia="Lucida Sans Unicode" w:cs="Tahoma"/>
                <w:color w:val="000000"/>
                <w:kern w:val="1"/>
                <w:sz w:val="20"/>
                <w:szCs w:val="20"/>
                <w:lang w:val="en-US" w:eastAsia="en-US" w:bidi="en-US"/>
              </w:rPr>
              <w:t xml:space="preserve">Наименование </w:t>
            </w:r>
          </w:p>
        </w:tc>
        <w:tc>
          <w:tcPr>
            <w:tcW w:w="3233" w:type="pct"/>
            <w:gridSpan w:val="2"/>
          </w:tcPr>
          <w:p w:rsidR="00D345B3" w:rsidRPr="0006251B" w:rsidRDefault="00D345B3" w:rsidP="00A17685">
            <w:pPr>
              <w:widowControl w:val="0"/>
              <w:suppressAutoHyphens/>
              <w:autoSpaceDE w:val="0"/>
              <w:autoSpaceDN w:val="0"/>
              <w:adjustRightInd w:val="0"/>
              <w:jc w:val="center"/>
              <w:rPr>
                <w:rFonts w:eastAsia="Andale Sans UI"/>
                <w:kern w:val="1"/>
                <w:sz w:val="20"/>
                <w:szCs w:val="20"/>
                <w:lang w:eastAsia="ar-SA"/>
              </w:rPr>
            </w:pPr>
            <w:r w:rsidRPr="0006251B">
              <w:rPr>
                <w:rFonts w:eastAsia="Andale Sans UI"/>
                <w:kern w:val="1"/>
                <w:sz w:val="20"/>
                <w:szCs w:val="20"/>
                <w:lang w:eastAsia="ar-SA"/>
              </w:rPr>
              <w:t>Описание (характеристики) объекта закупки</w:t>
            </w:r>
          </w:p>
        </w:tc>
        <w:tc>
          <w:tcPr>
            <w:tcW w:w="395" w:type="pct"/>
            <w:vMerge w:val="restart"/>
            <w:vAlign w:val="center"/>
          </w:tcPr>
          <w:p w:rsidR="00D345B3" w:rsidRPr="0006251B" w:rsidRDefault="00D345B3" w:rsidP="00A17685">
            <w:pPr>
              <w:widowControl w:val="0"/>
              <w:suppressAutoHyphens/>
              <w:autoSpaceDE w:val="0"/>
              <w:autoSpaceDN w:val="0"/>
              <w:adjustRightInd w:val="0"/>
              <w:jc w:val="center"/>
              <w:rPr>
                <w:rFonts w:eastAsia="Lucida Sans Unicode" w:cs="Tahoma"/>
                <w:color w:val="000000"/>
                <w:kern w:val="1"/>
                <w:sz w:val="20"/>
                <w:szCs w:val="20"/>
                <w:lang w:val="en-US" w:eastAsia="en-US" w:bidi="en-US"/>
              </w:rPr>
            </w:pPr>
            <w:r w:rsidRPr="0006251B">
              <w:rPr>
                <w:rFonts w:eastAsia="Lucida Sans Unicode" w:cs="Tahoma"/>
                <w:color w:val="000000"/>
                <w:kern w:val="1"/>
                <w:sz w:val="20"/>
                <w:szCs w:val="20"/>
                <w:lang w:val="en-US" w:eastAsia="en-US" w:bidi="en-US"/>
              </w:rPr>
              <w:t>Ед. изм.</w:t>
            </w:r>
          </w:p>
        </w:tc>
        <w:tc>
          <w:tcPr>
            <w:tcW w:w="329" w:type="pct"/>
            <w:vMerge w:val="restart"/>
          </w:tcPr>
          <w:p w:rsidR="00D345B3" w:rsidRPr="0006251B" w:rsidRDefault="00D345B3" w:rsidP="00A17685">
            <w:pPr>
              <w:widowControl w:val="0"/>
              <w:suppressAutoHyphens/>
              <w:jc w:val="center"/>
              <w:rPr>
                <w:rFonts w:eastAsia="Lucida Sans Unicode" w:cs="Tahoma"/>
                <w:color w:val="000000"/>
                <w:kern w:val="1"/>
                <w:sz w:val="20"/>
                <w:szCs w:val="20"/>
                <w:lang w:eastAsia="en-US" w:bidi="en-US"/>
              </w:rPr>
            </w:pPr>
          </w:p>
          <w:p w:rsidR="00D345B3" w:rsidRPr="0006251B" w:rsidRDefault="00D345B3" w:rsidP="00A17685">
            <w:pPr>
              <w:widowControl w:val="0"/>
              <w:suppressAutoHyphens/>
              <w:jc w:val="center"/>
              <w:rPr>
                <w:rFonts w:eastAsia="Lucida Sans Unicode" w:cs="Tahoma"/>
                <w:color w:val="000000"/>
                <w:kern w:val="1"/>
                <w:sz w:val="20"/>
                <w:szCs w:val="20"/>
                <w:lang w:eastAsia="en-US" w:bidi="en-US"/>
              </w:rPr>
            </w:pPr>
            <w:r w:rsidRPr="0006251B">
              <w:rPr>
                <w:rFonts w:eastAsia="Lucida Sans Unicode" w:cs="Tahoma"/>
                <w:color w:val="000000"/>
                <w:kern w:val="1"/>
                <w:sz w:val="20"/>
                <w:szCs w:val="20"/>
                <w:lang w:eastAsia="en-US" w:bidi="en-US"/>
              </w:rPr>
              <w:t>Кол-во</w:t>
            </w:r>
          </w:p>
        </w:tc>
      </w:tr>
      <w:tr w:rsidR="00D345B3" w:rsidRPr="0006251B" w:rsidTr="00D345B3">
        <w:trPr>
          <w:trHeight w:val="1150"/>
        </w:trPr>
        <w:tc>
          <w:tcPr>
            <w:tcW w:w="227" w:type="pct"/>
            <w:vMerge/>
            <w:tcBorders>
              <w:bottom w:val="single" w:sz="4" w:space="0" w:color="auto"/>
            </w:tcBorders>
            <w:vAlign w:val="center"/>
          </w:tcPr>
          <w:p w:rsidR="00D345B3" w:rsidRPr="0006251B" w:rsidRDefault="00D345B3" w:rsidP="00A17685">
            <w:pPr>
              <w:widowControl w:val="0"/>
              <w:suppressAutoHyphens/>
              <w:jc w:val="center"/>
              <w:rPr>
                <w:rFonts w:eastAsia="Andale Sans UI"/>
                <w:kern w:val="1"/>
                <w:sz w:val="20"/>
                <w:szCs w:val="20"/>
                <w:lang w:eastAsia="ar-SA"/>
              </w:rPr>
            </w:pPr>
          </w:p>
        </w:tc>
        <w:tc>
          <w:tcPr>
            <w:tcW w:w="816" w:type="pct"/>
            <w:vMerge/>
            <w:tcBorders>
              <w:bottom w:val="single" w:sz="4" w:space="0" w:color="auto"/>
            </w:tcBorders>
            <w:vAlign w:val="center"/>
          </w:tcPr>
          <w:p w:rsidR="00D345B3" w:rsidRPr="0006251B" w:rsidRDefault="00D345B3" w:rsidP="00A17685">
            <w:pPr>
              <w:widowControl w:val="0"/>
              <w:suppressAutoHyphens/>
              <w:jc w:val="center"/>
              <w:rPr>
                <w:rFonts w:eastAsia="Andale Sans UI"/>
                <w:kern w:val="1"/>
                <w:sz w:val="20"/>
                <w:szCs w:val="20"/>
                <w:lang w:eastAsia="ar-SA"/>
              </w:rPr>
            </w:pPr>
          </w:p>
        </w:tc>
        <w:tc>
          <w:tcPr>
            <w:tcW w:w="2423" w:type="pct"/>
            <w:tcBorders>
              <w:bottom w:val="single" w:sz="4" w:space="0" w:color="auto"/>
            </w:tcBorders>
            <w:vAlign w:val="center"/>
          </w:tcPr>
          <w:p w:rsidR="00D345B3" w:rsidRPr="0006251B" w:rsidRDefault="00D345B3" w:rsidP="00A17685">
            <w:pPr>
              <w:widowControl w:val="0"/>
              <w:suppressAutoHyphens/>
              <w:jc w:val="center"/>
              <w:rPr>
                <w:rFonts w:eastAsia="Andale Sans UI"/>
                <w:kern w:val="1"/>
                <w:sz w:val="20"/>
                <w:szCs w:val="20"/>
                <w:lang w:eastAsia="ar-SA"/>
              </w:rPr>
            </w:pPr>
            <w:r w:rsidRPr="0006251B">
              <w:rPr>
                <w:rFonts w:eastAsia="Andale Sans UI"/>
                <w:kern w:val="1"/>
                <w:sz w:val="20"/>
                <w:szCs w:val="20"/>
                <w:lang w:eastAsia="ar-SA"/>
              </w:rPr>
              <w:t>Наименование показателя</w:t>
            </w:r>
          </w:p>
          <w:p w:rsidR="00D345B3" w:rsidRPr="0006251B" w:rsidRDefault="00D345B3" w:rsidP="00A17685">
            <w:pPr>
              <w:widowControl w:val="0"/>
              <w:suppressAutoHyphens/>
              <w:jc w:val="center"/>
              <w:rPr>
                <w:rFonts w:eastAsia="Andale Sans UI"/>
                <w:color w:val="FF0000"/>
                <w:kern w:val="1"/>
                <w:sz w:val="20"/>
                <w:szCs w:val="20"/>
                <w:lang w:eastAsia="ar-SA"/>
              </w:rPr>
            </w:pPr>
            <w:r w:rsidRPr="0006251B">
              <w:rPr>
                <w:rFonts w:eastAsia="Andale Sans UI"/>
                <w:color w:val="FF0000"/>
                <w:kern w:val="1"/>
                <w:sz w:val="20"/>
                <w:szCs w:val="20"/>
                <w:lang w:eastAsia="ar-SA"/>
              </w:rPr>
              <w:t>(неизменяемое)</w:t>
            </w:r>
          </w:p>
        </w:tc>
        <w:tc>
          <w:tcPr>
            <w:tcW w:w="810" w:type="pct"/>
            <w:tcBorders>
              <w:bottom w:val="single" w:sz="4" w:space="0" w:color="auto"/>
            </w:tcBorders>
            <w:vAlign w:val="center"/>
          </w:tcPr>
          <w:p w:rsidR="00D345B3" w:rsidRPr="0006251B" w:rsidRDefault="00D345B3" w:rsidP="00A17685">
            <w:pPr>
              <w:widowControl w:val="0"/>
              <w:suppressAutoHyphens/>
              <w:autoSpaceDE w:val="0"/>
              <w:autoSpaceDN w:val="0"/>
              <w:adjustRightInd w:val="0"/>
              <w:jc w:val="center"/>
              <w:rPr>
                <w:rFonts w:eastAsia="Andale Sans UI"/>
                <w:kern w:val="1"/>
                <w:sz w:val="20"/>
                <w:szCs w:val="20"/>
                <w:lang w:eastAsia="ar-SA"/>
              </w:rPr>
            </w:pPr>
            <w:r w:rsidRPr="0006251B">
              <w:rPr>
                <w:rFonts w:eastAsia="Andale Sans UI"/>
                <w:kern w:val="1"/>
                <w:sz w:val="20"/>
                <w:szCs w:val="20"/>
                <w:lang w:eastAsia="ar-SA"/>
              </w:rPr>
              <w:t>Значения показателей, которые не могут изменяться</w:t>
            </w:r>
          </w:p>
        </w:tc>
        <w:tc>
          <w:tcPr>
            <w:tcW w:w="395" w:type="pct"/>
            <w:vMerge/>
            <w:tcBorders>
              <w:bottom w:val="single" w:sz="4" w:space="0" w:color="auto"/>
            </w:tcBorders>
          </w:tcPr>
          <w:p w:rsidR="00D345B3" w:rsidRPr="0006251B" w:rsidRDefault="00D345B3" w:rsidP="00A17685">
            <w:pPr>
              <w:widowControl w:val="0"/>
              <w:suppressAutoHyphens/>
              <w:jc w:val="center"/>
              <w:rPr>
                <w:rFonts w:eastAsia="Andale Sans UI"/>
                <w:kern w:val="1"/>
                <w:sz w:val="20"/>
                <w:szCs w:val="20"/>
                <w:lang w:eastAsia="ar-SA"/>
              </w:rPr>
            </w:pPr>
          </w:p>
        </w:tc>
        <w:tc>
          <w:tcPr>
            <w:tcW w:w="329" w:type="pct"/>
            <w:vMerge/>
            <w:tcBorders>
              <w:bottom w:val="single" w:sz="4" w:space="0" w:color="auto"/>
            </w:tcBorders>
          </w:tcPr>
          <w:p w:rsidR="00D345B3" w:rsidRPr="0006251B" w:rsidRDefault="00D345B3" w:rsidP="00A17685">
            <w:pPr>
              <w:widowControl w:val="0"/>
              <w:suppressAutoHyphens/>
              <w:jc w:val="center"/>
              <w:rPr>
                <w:rFonts w:eastAsia="Andale Sans UI"/>
                <w:kern w:val="1"/>
                <w:sz w:val="20"/>
                <w:szCs w:val="20"/>
                <w:lang w:eastAsia="ar-SA"/>
              </w:rPr>
            </w:pPr>
          </w:p>
        </w:tc>
      </w:tr>
      <w:tr w:rsidR="00D345B3" w:rsidRPr="0006251B" w:rsidTr="00D345B3">
        <w:trPr>
          <w:trHeight w:val="525"/>
        </w:trPr>
        <w:tc>
          <w:tcPr>
            <w:tcW w:w="227" w:type="pct"/>
          </w:tcPr>
          <w:p w:rsidR="00D345B3" w:rsidRPr="0006251B" w:rsidRDefault="00D345B3" w:rsidP="00A17685">
            <w:pPr>
              <w:spacing w:after="60"/>
              <w:jc w:val="center"/>
              <w:rPr>
                <w:color w:val="000000"/>
                <w:sz w:val="20"/>
                <w:szCs w:val="20"/>
              </w:rPr>
            </w:pPr>
            <w:r w:rsidRPr="0006251B">
              <w:rPr>
                <w:color w:val="000000"/>
                <w:sz w:val="20"/>
                <w:szCs w:val="20"/>
              </w:rPr>
              <w:t>1</w:t>
            </w:r>
          </w:p>
        </w:tc>
        <w:tc>
          <w:tcPr>
            <w:tcW w:w="816" w:type="pct"/>
          </w:tcPr>
          <w:p w:rsidR="00D345B3" w:rsidRPr="0006251B" w:rsidRDefault="00D345B3" w:rsidP="00A17685">
            <w:pPr>
              <w:suppressAutoHyphens/>
              <w:rPr>
                <w:sz w:val="20"/>
                <w:szCs w:val="20"/>
                <w:lang w:eastAsia="ar-SA"/>
              </w:rPr>
            </w:pPr>
            <w:r w:rsidRPr="0006251B">
              <w:rPr>
                <w:sz w:val="20"/>
                <w:szCs w:val="20"/>
                <w:lang w:eastAsia="ar-SA"/>
              </w:rPr>
              <w:t>9-02-03 Ортопедическая обувь сложная на аппарат на утепленной подкладке инвалидам (без учета детей-инвалидов)</w:t>
            </w:r>
          </w:p>
          <w:p w:rsidR="00D345B3" w:rsidRPr="0006251B" w:rsidRDefault="00D345B3" w:rsidP="00A17685">
            <w:pPr>
              <w:suppressAutoHyphens/>
              <w:rPr>
                <w:b/>
                <w:sz w:val="20"/>
                <w:szCs w:val="20"/>
                <w:lang w:eastAsia="ar-SA"/>
              </w:rPr>
            </w:pPr>
            <w:r w:rsidRPr="0006251B">
              <w:rPr>
                <w:sz w:val="20"/>
                <w:szCs w:val="20"/>
                <w:lang w:eastAsia="ar-SA"/>
              </w:rPr>
              <w:t>(пара)</w:t>
            </w:r>
          </w:p>
        </w:tc>
        <w:tc>
          <w:tcPr>
            <w:tcW w:w="2423" w:type="pct"/>
          </w:tcPr>
          <w:p w:rsidR="00D345B3" w:rsidRPr="0006251B" w:rsidRDefault="00D345B3" w:rsidP="00A17685">
            <w:pPr>
              <w:suppressAutoHyphens/>
              <w:jc w:val="both"/>
              <w:rPr>
                <w:sz w:val="20"/>
                <w:szCs w:val="20"/>
                <w:lang w:eastAsia="ar-SA"/>
              </w:rPr>
            </w:pPr>
          </w:p>
          <w:p w:rsidR="00D345B3" w:rsidRPr="0006251B" w:rsidRDefault="00D345B3" w:rsidP="00A17685">
            <w:pPr>
              <w:tabs>
                <w:tab w:val="left" w:pos="1290"/>
              </w:tabs>
              <w:suppressAutoHyphens/>
              <w:jc w:val="both"/>
              <w:rPr>
                <w:sz w:val="20"/>
                <w:szCs w:val="20"/>
                <w:lang w:eastAsia="ar-SA"/>
              </w:rPr>
            </w:pPr>
            <w:r w:rsidRPr="0006251B">
              <w:rPr>
                <w:sz w:val="20"/>
                <w:szCs w:val="20"/>
                <w:lang w:eastAsia="ar-SA"/>
              </w:rPr>
              <w:t>Изготавливается на специальных «аппаратных» колодках, индивидуально дорабатываемых по обчерку и измеренным значениям обхватов стопы пациента в аппарате, а также с учетом размеров здоровой стопы. Обувь должна быть представлена в различных моделях, ассортимент должен содержать обувь без утепленной подкладки. Обувь должна надежно фиксироваться на ноге в аппарате.</w:t>
            </w:r>
          </w:p>
        </w:tc>
        <w:tc>
          <w:tcPr>
            <w:tcW w:w="810" w:type="pct"/>
          </w:tcPr>
          <w:p w:rsidR="00D345B3" w:rsidRPr="0006251B" w:rsidRDefault="00D345B3" w:rsidP="00A17685">
            <w:pPr>
              <w:spacing w:after="60"/>
              <w:jc w:val="center"/>
              <w:rPr>
                <w:sz w:val="20"/>
                <w:szCs w:val="20"/>
              </w:rPr>
            </w:pPr>
            <w:r w:rsidRPr="0006251B">
              <w:rPr>
                <w:sz w:val="20"/>
                <w:szCs w:val="20"/>
              </w:rPr>
              <w:t>Соответствует</w:t>
            </w:r>
          </w:p>
        </w:tc>
        <w:tc>
          <w:tcPr>
            <w:tcW w:w="395" w:type="pct"/>
          </w:tcPr>
          <w:p w:rsidR="00D345B3" w:rsidRPr="0006251B" w:rsidRDefault="00D345B3" w:rsidP="00A17685">
            <w:pPr>
              <w:spacing w:after="60"/>
              <w:jc w:val="center"/>
              <w:rPr>
                <w:sz w:val="20"/>
                <w:szCs w:val="20"/>
              </w:rPr>
            </w:pPr>
            <w:r w:rsidRPr="0006251B">
              <w:rPr>
                <w:sz w:val="20"/>
                <w:szCs w:val="20"/>
              </w:rPr>
              <w:t>пара</w:t>
            </w:r>
          </w:p>
        </w:tc>
        <w:tc>
          <w:tcPr>
            <w:tcW w:w="329" w:type="pct"/>
          </w:tcPr>
          <w:p w:rsidR="00D345B3" w:rsidRPr="0006251B" w:rsidRDefault="00D345B3" w:rsidP="00A17685">
            <w:pPr>
              <w:spacing w:after="60"/>
              <w:jc w:val="center"/>
              <w:rPr>
                <w:color w:val="000000"/>
                <w:sz w:val="20"/>
                <w:szCs w:val="20"/>
              </w:rPr>
            </w:pPr>
            <w:r w:rsidRPr="0006251B">
              <w:rPr>
                <w:color w:val="000000"/>
                <w:sz w:val="20"/>
                <w:szCs w:val="20"/>
              </w:rPr>
              <w:t>14</w:t>
            </w:r>
          </w:p>
        </w:tc>
      </w:tr>
      <w:tr w:rsidR="00D345B3" w:rsidRPr="0006251B" w:rsidTr="00D345B3">
        <w:trPr>
          <w:trHeight w:val="383"/>
        </w:trPr>
        <w:tc>
          <w:tcPr>
            <w:tcW w:w="227" w:type="pct"/>
          </w:tcPr>
          <w:p w:rsidR="00D345B3" w:rsidRPr="0006251B" w:rsidRDefault="00D345B3" w:rsidP="00A17685">
            <w:pPr>
              <w:spacing w:after="60"/>
              <w:jc w:val="center"/>
              <w:rPr>
                <w:color w:val="000000"/>
                <w:sz w:val="20"/>
                <w:szCs w:val="20"/>
              </w:rPr>
            </w:pPr>
            <w:r w:rsidRPr="0006251B">
              <w:rPr>
                <w:color w:val="000000"/>
                <w:sz w:val="20"/>
                <w:szCs w:val="20"/>
              </w:rPr>
              <w:t>2</w:t>
            </w:r>
          </w:p>
        </w:tc>
        <w:tc>
          <w:tcPr>
            <w:tcW w:w="816" w:type="pct"/>
          </w:tcPr>
          <w:p w:rsidR="00D345B3" w:rsidRPr="0006251B" w:rsidRDefault="00D345B3" w:rsidP="00A17685">
            <w:pPr>
              <w:rPr>
                <w:sz w:val="20"/>
                <w:szCs w:val="20"/>
              </w:rPr>
            </w:pPr>
            <w:r w:rsidRPr="0006251B">
              <w:rPr>
                <w:sz w:val="20"/>
                <w:szCs w:val="20"/>
              </w:rPr>
              <w:t>9-01-04 Ортопедическая обувь сложная на аппарат без утепленной подкладки инвалидам (без учета детей-инвалидов) (пара)</w:t>
            </w:r>
          </w:p>
        </w:tc>
        <w:tc>
          <w:tcPr>
            <w:tcW w:w="2423" w:type="pct"/>
          </w:tcPr>
          <w:p w:rsidR="00D345B3" w:rsidRPr="0006251B" w:rsidRDefault="00D345B3" w:rsidP="00A17685">
            <w:pPr>
              <w:suppressAutoHyphens/>
              <w:jc w:val="both"/>
              <w:rPr>
                <w:color w:val="000000"/>
                <w:sz w:val="20"/>
                <w:szCs w:val="20"/>
              </w:rPr>
            </w:pPr>
            <w:r w:rsidRPr="0006251B">
              <w:rPr>
                <w:sz w:val="20"/>
                <w:szCs w:val="20"/>
                <w:lang w:eastAsia="ar-SA"/>
              </w:rPr>
              <w:t>Изготавливается на специальных «аппаратных» колодках, индивидуально дорабатываемых по обчерку и измеренным значениям обхватов стопы пациента в аппарате, а также с учетом размеров здоровой стопы. Обувь должна быть представлена в различных моделях, ассортимент должен содержать обувь без утепленной подкладки. Обувь должна надежно фиксироваться на ноге в аппарате.</w:t>
            </w:r>
          </w:p>
        </w:tc>
        <w:tc>
          <w:tcPr>
            <w:tcW w:w="810" w:type="pct"/>
          </w:tcPr>
          <w:p w:rsidR="00D345B3" w:rsidRPr="0006251B" w:rsidRDefault="00D345B3" w:rsidP="00A17685">
            <w:pPr>
              <w:spacing w:after="60"/>
              <w:jc w:val="center"/>
              <w:rPr>
                <w:sz w:val="20"/>
                <w:szCs w:val="20"/>
              </w:rPr>
            </w:pPr>
            <w:r w:rsidRPr="0006251B">
              <w:rPr>
                <w:sz w:val="20"/>
                <w:szCs w:val="20"/>
              </w:rPr>
              <w:t>Соответствует</w:t>
            </w:r>
          </w:p>
        </w:tc>
        <w:tc>
          <w:tcPr>
            <w:tcW w:w="395" w:type="pct"/>
          </w:tcPr>
          <w:p w:rsidR="00D345B3" w:rsidRPr="0006251B" w:rsidRDefault="00D345B3" w:rsidP="00A17685">
            <w:pPr>
              <w:spacing w:after="60"/>
              <w:jc w:val="center"/>
              <w:rPr>
                <w:sz w:val="20"/>
                <w:szCs w:val="20"/>
              </w:rPr>
            </w:pPr>
            <w:r w:rsidRPr="0006251B">
              <w:rPr>
                <w:sz w:val="20"/>
                <w:szCs w:val="20"/>
              </w:rPr>
              <w:t>пара</w:t>
            </w:r>
          </w:p>
        </w:tc>
        <w:tc>
          <w:tcPr>
            <w:tcW w:w="329" w:type="pct"/>
          </w:tcPr>
          <w:p w:rsidR="00D345B3" w:rsidRPr="0006251B" w:rsidRDefault="00D345B3" w:rsidP="00A17685">
            <w:pPr>
              <w:spacing w:after="60"/>
              <w:jc w:val="center"/>
              <w:rPr>
                <w:color w:val="000000"/>
                <w:sz w:val="20"/>
                <w:szCs w:val="20"/>
              </w:rPr>
            </w:pPr>
            <w:r w:rsidRPr="0006251B">
              <w:rPr>
                <w:color w:val="000000"/>
                <w:sz w:val="20"/>
                <w:szCs w:val="20"/>
              </w:rPr>
              <w:t>14</w:t>
            </w:r>
          </w:p>
        </w:tc>
      </w:tr>
      <w:tr w:rsidR="00D345B3" w:rsidRPr="0006251B" w:rsidTr="00D345B3">
        <w:trPr>
          <w:trHeight w:val="984"/>
        </w:trPr>
        <w:tc>
          <w:tcPr>
            <w:tcW w:w="227" w:type="pct"/>
          </w:tcPr>
          <w:p w:rsidR="00D345B3" w:rsidRPr="0006251B" w:rsidRDefault="00D345B3" w:rsidP="00A17685">
            <w:pPr>
              <w:suppressAutoHyphens/>
              <w:spacing w:after="60"/>
              <w:jc w:val="center"/>
              <w:rPr>
                <w:rFonts w:eastAsia="Andale Sans UI"/>
                <w:kern w:val="1"/>
                <w:sz w:val="20"/>
                <w:szCs w:val="20"/>
                <w:lang w:eastAsia="ar-SA"/>
              </w:rPr>
            </w:pPr>
            <w:r w:rsidRPr="0006251B">
              <w:rPr>
                <w:color w:val="000000"/>
                <w:sz w:val="20"/>
                <w:szCs w:val="20"/>
              </w:rPr>
              <w:t>3</w:t>
            </w:r>
          </w:p>
        </w:tc>
        <w:tc>
          <w:tcPr>
            <w:tcW w:w="816" w:type="pct"/>
          </w:tcPr>
          <w:p w:rsidR="00D345B3" w:rsidRPr="0006251B" w:rsidRDefault="00D345B3" w:rsidP="00A17685">
            <w:pPr>
              <w:rPr>
                <w:sz w:val="20"/>
                <w:szCs w:val="20"/>
              </w:rPr>
            </w:pPr>
            <w:r w:rsidRPr="0006251B">
              <w:rPr>
                <w:sz w:val="20"/>
                <w:szCs w:val="20"/>
              </w:rPr>
              <w:t xml:space="preserve">9-01-03 Ортопедическая обувь на протезы при двусторонней ампутации нижних конечностей инвалидам (без учета детей-инвалидов) </w:t>
            </w:r>
          </w:p>
          <w:p w:rsidR="00D345B3" w:rsidRPr="0006251B" w:rsidRDefault="00D345B3" w:rsidP="00A17685">
            <w:pPr>
              <w:rPr>
                <w:sz w:val="20"/>
                <w:szCs w:val="20"/>
              </w:rPr>
            </w:pPr>
            <w:r w:rsidRPr="0006251B">
              <w:rPr>
                <w:sz w:val="20"/>
                <w:szCs w:val="20"/>
              </w:rPr>
              <w:t>(пара)</w:t>
            </w:r>
          </w:p>
        </w:tc>
        <w:tc>
          <w:tcPr>
            <w:tcW w:w="2423" w:type="pct"/>
          </w:tcPr>
          <w:p w:rsidR="00D345B3" w:rsidRPr="0006251B" w:rsidRDefault="00D345B3" w:rsidP="00A17685">
            <w:pPr>
              <w:suppressAutoHyphens/>
              <w:jc w:val="both"/>
              <w:rPr>
                <w:color w:val="000000"/>
                <w:sz w:val="20"/>
                <w:szCs w:val="20"/>
              </w:rPr>
            </w:pPr>
            <w:r w:rsidRPr="0006251B">
              <w:rPr>
                <w:sz w:val="20"/>
                <w:szCs w:val="20"/>
              </w:rPr>
              <w:t>Ортопедическая обувь на протезы при двусторонней ампутации нижних конечностей без утепленной подкладки. Изготавливается в зависимости от конструкции и размера искусственной стопы.</w:t>
            </w:r>
          </w:p>
        </w:tc>
        <w:tc>
          <w:tcPr>
            <w:tcW w:w="810" w:type="pct"/>
          </w:tcPr>
          <w:p w:rsidR="00D345B3" w:rsidRPr="0006251B" w:rsidRDefault="00D345B3" w:rsidP="00A17685">
            <w:pPr>
              <w:spacing w:after="60"/>
              <w:jc w:val="center"/>
              <w:rPr>
                <w:sz w:val="20"/>
                <w:szCs w:val="20"/>
              </w:rPr>
            </w:pPr>
            <w:r w:rsidRPr="0006251B">
              <w:rPr>
                <w:sz w:val="20"/>
                <w:szCs w:val="20"/>
              </w:rPr>
              <w:t>Соответствует</w:t>
            </w:r>
          </w:p>
        </w:tc>
        <w:tc>
          <w:tcPr>
            <w:tcW w:w="395" w:type="pct"/>
          </w:tcPr>
          <w:p w:rsidR="00D345B3" w:rsidRPr="0006251B" w:rsidRDefault="00D345B3" w:rsidP="00A17685">
            <w:pPr>
              <w:suppressAutoHyphens/>
              <w:spacing w:after="60"/>
              <w:jc w:val="center"/>
              <w:rPr>
                <w:sz w:val="20"/>
                <w:szCs w:val="20"/>
              </w:rPr>
            </w:pPr>
            <w:r w:rsidRPr="0006251B">
              <w:rPr>
                <w:sz w:val="20"/>
                <w:szCs w:val="20"/>
              </w:rPr>
              <w:t>пара</w:t>
            </w:r>
          </w:p>
          <w:p w:rsidR="00D345B3" w:rsidRPr="0006251B" w:rsidRDefault="00D345B3" w:rsidP="00A17685">
            <w:pPr>
              <w:spacing w:after="60"/>
              <w:jc w:val="center"/>
              <w:rPr>
                <w:sz w:val="20"/>
                <w:szCs w:val="20"/>
              </w:rPr>
            </w:pPr>
          </w:p>
        </w:tc>
        <w:tc>
          <w:tcPr>
            <w:tcW w:w="329" w:type="pct"/>
          </w:tcPr>
          <w:p w:rsidR="00D345B3" w:rsidRPr="0006251B" w:rsidRDefault="00D345B3" w:rsidP="00A17685">
            <w:pPr>
              <w:suppressAutoHyphens/>
              <w:spacing w:after="60"/>
              <w:jc w:val="center"/>
              <w:rPr>
                <w:color w:val="000000"/>
                <w:sz w:val="20"/>
                <w:szCs w:val="20"/>
              </w:rPr>
            </w:pPr>
            <w:r w:rsidRPr="0006251B">
              <w:rPr>
                <w:color w:val="000000"/>
                <w:sz w:val="20"/>
                <w:szCs w:val="20"/>
              </w:rPr>
              <w:t>26</w:t>
            </w:r>
          </w:p>
        </w:tc>
      </w:tr>
      <w:tr w:rsidR="00D345B3" w:rsidRPr="0006251B" w:rsidTr="00D345B3">
        <w:trPr>
          <w:trHeight w:val="984"/>
        </w:trPr>
        <w:tc>
          <w:tcPr>
            <w:tcW w:w="227" w:type="pct"/>
          </w:tcPr>
          <w:p w:rsidR="00D345B3" w:rsidRPr="0006251B" w:rsidRDefault="00D345B3" w:rsidP="00A17685">
            <w:pPr>
              <w:suppressAutoHyphens/>
              <w:spacing w:after="60"/>
              <w:jc w:val="center"/>
              <w:rPr>
                <w:color w:val="000000"/>
                <w:sz w:val="20"/>
                <w:szCs w:val="20"/>
              </w:rPr>
            </w:pPr>
            <w:r w:rsidRPr="0006251B">
              <w:rPr>
                <w:color w:val="000000"/>
                <w:sz w:val="20"/>
                <w:szCs w:val="20"/>
              </w:rPr>
              <w:t>4</w:t>
            </w:r>
          </w:p>
        </w:tc>
        <w:tc>
          <w:tcPr>
            <w:tcW w:w="816" w:type="pct"/>
          </w:tcPr>
          <w:p w:rsidR="00D345B3" w:rsidRPr="0006251B" w:rsidRDefault="00D345B3" w:rsidP="00A17685">
            <w:pPr>
              <w:suppressAutoHyphens/>
              <w:rPr>
                <w:sz w:val="20"/>
                <w:szCs w:val="20"/>
              </w:rPr>
            </w:pPr>
            <w:r w:rsidRPr="0006251B">
              <w:rPr>
                <w:sz w:val="20"/>
                <w:szCs w:val="20"/>
              </w:rPr>
              <w:t>9-01-06 Вкладной башмачок для взрослых</w:t>
            </w:r>
          </w:p>
        </w:tc>
        <w:tc>
          <w:tcPr>
            <w:tcW w:w="2423" w:type="pct"/>
          </w:tcPr>
          <w:p w:rsidR="00D345B3" w:rsidRPr="0006251B" w:rsidRDefault="00D345B3" w:rsidP="00A17685">
            <w:pPr>
              <w:suppressAutoHyphens/>
              <w:jc w:val="both"/>
              <w:rPr>
                <w:sz w:val="20"/>
                <w:szCs w:val="20"/>
              </w:rPr>
            </w:pPr>
            <w:r w:rsidRPr="0006251B">
              <w:rPr>
                <w:sz w:val="20"/>
                <w:szCs w:val="20"/>
              </w:rPr>
              <w:t>Башмачок вкладной (мужской, женский) предназначается для компенсации отсутствующего сегмента стопы и назначается пользователям с врожденными или ампутационными дефектами.</w:t>
            </w:r>
          </w:p>
          <w:p w:rsidR="00D345B3" w:rsidRPr="0006251B" w:rsidRDefault="00D345B3" w:rsidP="00A17685">
            <w:pPr>
              <w:suppressAutoHyphens/>
              <w:jc w:val="both"/>
              <w:rPr>
                <w:sz w:val="20"/>
                <w:szCs w:val="20"/>
              </w:rPr>
            </w:pPr>
            <w:r w:rsidRPr="0006251B">
              <w:rPr>
                <w:sz w:val="20"/>
                <w:szCs w:val="20"/>
              </w:rPr>
              <w:t>Конструкция изделия с индивидуальными параметрами изготовления учитывает анатомо-функциональные особенности пользователя и изготавливается по медицинскому заказу.  Особенности конструкции изделий в зависимости от их функционального назначения. Изделия при использовании не должны вызывать нарушения целостности кожных покровов и кровообращения.</w:t>
            </w:r>
          </w:p>
          <w:p w:rsidR="00D345B3" w:rsidRPr="0006251B" w:rsidRDefault="00D345B3" w:rsidP="00A17685">
            <w:pPr>
              <w:suppressAutoHyphens/>
              <w:jc w:val="both"/>
              <w:rPr>
                <w:color w:val="000000"/>
                <w:sz w:val="20"/>
                <w:szCs w:val="20"/>
              </w:rPr>
            </w:pPr>
            <w:r w:rsidRPr="0006251B">
              <w:rPr>
                <w:sz w:val="20"/>
                <w:szCs w:val="20"/>
              </w:rPr>
              <w:lastRenderedPageBreak/>
              <w:t>Изделия выпускаются штучно. Изделия в соответствии с требованиями медицинского заказа могут быть асимметричными при заказе в паре</w:t>
            </w:r>
          </w:p>
        </w:tc>
        <w:tc>
          <w:tcPr>
            <w:tcW w:w="810" w:type="pct"/>
          </w:tcPr>
          <w:p w:rsidR="00D345B3" w:rsidRPr="0006251B" w:rsidRDefault="00D345B3" w:rsidP="00A17685">
            <w:pPr>
              <w:spacing w:after="60"/>
              <w:jc w:val="center"/>
              <w:rPr>
                <w:sz w:val="20"/>
                <w:szCs w:val="20"/>
              </w:rPr>
            </w:pPr>
            <w:r w:rsidRPr="0006251B">
              <w:rPr>
                <w:sz w:val="20"/>
                <w:szCs w:val="20"/>
              </w:rPr>
              <w:lastRenderedPageBreak/>
              <w:t>Соответствует</w:t>
            </w:r>
          </w:p>
        </w:tc>
        <w:tc>
          <w:tcPr>
            <w:tcW w:w="395" w:type="pct"/>
          </w:tcPr>
          <w:p w:rsidR="00D345B3" w:rsidRPr="0006251B" w:rsidRDefault="00D345B3" w:rsidP="00A17685">
            <w:pPr>
              <w:spacing w:after="60"/>
              <w:jc w:val="center"/>
              <w:rPr>
                <w:sz w:val="20"/>
                <w:szCs w:val="20"/>
              </w:rPr>
            </w:pPr>
            <w:r w:rsidRPr="0006251B">
              <w:rPr>
                <w:sz w:val="20"/>
                <w:szCs w:val="20"/>
              </w:rPr>
              <w:t>пара</w:t>
            </w:r>
          </w:p>
        </w:tc>
        <w:tc>
          <w:tcPr>
            <w:tcW w:w="329" w:type="pct"/>
          </w:tcPr>
          <w:p w:rsidR="00D345B3" w:rsidRPr="0006251B" w:rsidRDefault="00D345B3" w:rsidP="00A17685">
            <w:pPr>
              <w:suppressAutoHyphens/>
              <w:spacing w:after="60"/>
              <w:jc w:val="center"/>
              <w:rPr>
                <w:color w:val="000000"/>
                <w:sz w:val="20"/>
                <w:szCs w:val="20"/>
              </w:rPr>
            </w:pPr>
            <w:r w:rsidRPr="0006251B">
              <w:rPr>
                <w:color w:val="000000"/>
                <w:sz w:val="20"/>
                <w:szCs w:val="20"/>
              </w:rPr>
              <w:t>3</w:t>
            </w:r>
          </w:p>
        </w:tc>
      </w:tr>
      <w:tr w:rsidR="00D345B3" w:rsidRPr="0006251B" w:rsidTr="00D345B3">
        <w:trPr>
          <w:trHeight w:val="984"/>
        </w:trPr>
        <w:tc>
          <w:tcPr>
            <w:tcW w:w="227" w:type="pct"/>
          </w:tcPr>
          <w:p w:rsidR="00D345B3" w:rsidRPr="0006251B" w:rsidRDefault="00D345B3" w:rsidP="00A17685">
            <w:pPr>
              <w:suppressAutoHyphens/>
              <w:spacing w:after="60"/>
              <w:jc w:val="center"/>
              <w:rPr>
                <w:color w:val="000000"/>
                <w:sz w:val="20"/>
                <w:szCs w:val="20"/>
              </w:rPr>
            </w:pPr>
            <w:r w:rsidRPr="0006251B">
              <w:rPr>
                <w:color w:val="000000"/>
                <w:sz w:val="20"/>
                <w:szCs w:val="20"/>
              </w:rPr>
              <w:lastRenderedPageBreak/>
              <w:t>5</w:t>
            </w:r>
          </w:p>
        </w:tc>
        <w:tc>
          <w:tcPr>
            <w:tcW w:w="816" w:type="pct"/>
          </w:tcPr>
          <w:p w:rsidR="00D345B3" w:rsidRPr="0006251B" w:rsidRDefault="00D345B3" w:rsidP="00A17685">
            <w:pPr>
              <w:suppressAutoHyphens/>
              <w:rPr>
                <w:sz w:val="20"/>
                <w:szCs w:val="20"/>
              </w:rPr>
            </w:pPr>
            <w:r w:rsidRPr="0006251B">
              <w:rPr>
                <w:sz w:val="20"/>
                <w:szCs w:val="20"/>
              </w:rPr>
              <w:t>9-02-03 Ортопедическая обувь сложная на аппарат на утепленной подкладке для детей-инвалидов</w:t>
            </w:r>
          </w:p>
          <w:p w:rsidR="00D345B3" w:rsidRPr="0006251B" w:rsidRDefault="00D345B3" w:rsidP="00A17685">
            <w:pPr>
              <w:suppressAutoHyphens/>
              <w:rPr>
                <w:sz w:val="20"/>
                <w:szCs w:val="20"/>
              </w:rPr>
            </w:pPr>
            <w:r w:rsidRPr="0006251B">
              <w:rPr>
                <w:sz w:val="20"/>
                <w:szCs w:val="20"/>
              </w:rPr>
              <w:t>(пара)</w:t>
            </w:r>
          </w:p>
        </w:tc>
        <w:tc>
          <w:tcPr>
            <w:tcW w:w="2423" w:type="pct"/>
          </w:tcPr>
          <w:p w:rsidR="00D345B3" w:rsidRPr="0006251B" w:rsidRDefault="00D345B3" w:rsidP="00A17685">
            <w:pPr>
              <w:suppressAutoHyphens/>
              <w:jc w:val="both"/>
              <w:rPr>
                <w:color w:val="000000"/>
                <w:sz w:val="20"/>
                <w:szCs w:val="20"/>
              </w:rPr>
            </w:pPr>
            <w:r w:rsidRPr="0006251B">
              <w:rPr>
                <w:sz w:val="20"/>
                <w:szCs w:val="20"/>
                <w:lang w:eastAsia="ar-SA"/>
              </w:rPr>
              <w:t>Изготавливается на специальных «аппаратных» колодках, индивидуально дорабатываемых по обчерку и измеренным значениям обхватов стопы пациента в аппарате, а также с учетом размеров здоровой стопы. Обувь должна быть представлена в различных моделях, ассортимент должен содержать обувь на утепленной подкладке. Обувь должна надежно фиксироваться на ноге в аппарате.</w:t>
            </w:r>
          </w:p>
        </w:tc>
        <w:tc>
          <w:tcPr>
            <w:tcW w:w="810" w:type="pct"/>
          </w:tcPr>
          <w:p w:rsidR="00D345B3" w:rsidRPr="0006251B" w:rsidRDefault="00D345B3" w:rsidP="00A17685">
            <w:pPr>
              <w:spacing w:after="60"/>
              <w:jc w:val="center"/>
              <w:rPr>
                <w:sz w:val="20"/>
                <w:szCs w:val="20"/>
              </w:rPr>
            </w:pPr>
            <w:r w:rsidRPr="0006251B">
              <w:rPr>
                <w:sz w:val="20"/>
                <w:szCs w:val="20"/>
              </w:rPr>
              <w:t>Соответствует</w:t>
            </w:r>
          </w:p>
        </w:tc>
        <w:tc>
          <w:tcPr>
            <w:tcW w:w="395" w:type="pct"/>
          </w:tcPr>
          <w:p w:rsidR="00D345B3" w:rsidRPr="0006251B" w:rsidRDefault="00D345B3" w:rsidP="00A17685">
            <w:pPr>
              <w:spacing w:after="60"/>
              <w:jc w:val="center"/>
              <w:rPr>
                <w:sz w:val="20"/>
                <w:szCs w:val="20"/>
              </w:rPr>
            </w:pPr>
            <w:r w:rsidRPr="0006251B">
              <w:rPr>
                <w:sz w:val="20"/>
                <w:szCs w:val="20"/>
              </w:rPr>
              <w:t>пара</w:t>
            </w:r>
          </w:p>
        </w:tc>
        <w:tc>
          <w:tcPr>
            <w:tcW w:w="329" w:type="pct"/>
          </w:tcPr>
          <w:p w:rsidR="00D345B3" w:rsidRPr="0006251B" w:rsidRDefault="00D345B3" w:rsidP="00A17685">
            <w:pPr>
              <w:suppressAutoHyphens/>
              <w:spacing w:after="60"/>
              <w:jc w:val="center"/>
              <w:rPr>
                <w:color w:val="000000"/>
                <w:sz w:val="20"/>
                <w:szCs w:val="20"/>
              </w:rPr>
            </w:pPr>
            <w:r w:rsidRPr="0006251B">
              <w:rPr>
                <w:color w:val="000000"/>
                <w:sz w:val="20"/>
                <w:szCs w:val="20"/>
              </w:rPr>
              <w:t>60</w:t>
            </w:r>
          </w:p>
        </w:tc>
      </w:tr>
      <w:tr w:rsidR="00D345B3" w:rsidRPr="0006251B" w:rsidTr="00D345B3">
        <w:trPr>
          <w:trHeight w:val="984"/>
        </w:trPr>
        <w:tc>
          <w:tcPr>
            <w:tcW w:w="227" w:type="pct"/>
          </w:tcPr>
          <w:p w:rsidR="00D345B3" w:rsidRPr="0006251B" w:rsidRDefault="00D345B3" w:rsidP="00A17685">
            <w:pPr>
              <w:suppressAutoHyphens/>
              <w:spacing w:after="60"/>
              <w:jc w:val="center"/>
              <w:rPr>
                <w:color w:val="000000"/>
                <w:sz w:val="20"/>
                <w:szCs w:val="20"/>
              </w:rPr>
            </w:pPr>
            <w:r w:rsidRPr="0006251B">
              <w:rPr>
                <w:color w:val="000000"/>
                <w:sz w:val="20"/>
                <w:szCs w:val="20"/>
              </w:rPr>
              <w:t>6</w:t>
            </w:r>
          </w:p>
        </w:tc>
        <w:tc>
          <w:tcPr>
            <w:tcW w:w="816" w:type="pct"/>
          </w:tcPr>
          <w:p w:rsidR="00D345B3" w:rsidRPr="0006251B" w:rsidRDefault="00D345B3" w:rsidP="00A17685">
            <w:pPr>
              <w:suppressAutoHyphens/>
              <w:rPr>
                <w:sz w:val="20"/>
                <w:szCs w:val="20"/>
              </w:rPr>
            </w:pPr>
            <w:r w:rsidRPr="0006251B">
              <w:rPr>
                <w:sz w:val="20"/>
                <w:szCs w:val="20"/>
              </w:rPr>
              <w:t>9-01-04 Ортопедическая обувь сложная на аппарат без утепленной подкладки для детей-инвалидов</w:t>
            </w:r>
          </w:p>
          <w:p w:rsidR="00D345B3" w:rsidRPr="0006251B" w:rsidRDefault="00D345B3" w:rsidP="00A17685">
            <w:pPr>
              <w:suppressAutoHyphens/>
              <w:rPr>
                <w:sz w:val="20"/>
                <w:szCs w:val="20"/>
              </w:rPr>
            </w:pPr>
            <w:r w:rsidRPr="0006251B">
              <w:rPr>
                <w:sz w:val="20"/>
                <w:szCs w:val="20"/>
              </w:rPr>
              <w:t>(пара)</w:t>
            </w:r>
          </w:p>
        </w:tc>
        <w:tc>
          <w:tcPr>
            <w:tcW w:w="2423" w:type="pct"/>
          </w:tcPr>
          <w:p w:rsidR="00D345B3" w:rsidRPr="0006251B" w:rsidRDefault="00D345B3" w:rsidP="00A17685">
            <w:pPr>
              <w:suppressAutoHyphens/>
              <w:jc w:val="both"/>
              <w:rPr>
                <w:color w:val="000000"/>
                <w:sz w:val="20"/>
                <w:szCs w:val="20"/>
              </w:rPr>
            </w:pPr>
            <w:r w:rsidRPr="0006251B">
              <w:rPr>
                <w:sz w:val="20"/>
                <w:szCs w:val="20"/>
                <w:lang w:eastAsia="ar-SA"/>
              </w:rPr>
              <w:t>Изготавливается на специальных «аппаратных» колодках, индивидуально дорабатываемых по обчерку и измеренным значениям обхватов стопы пациента в аппарате, а также с учетом размеров здоровой стопы. Обувь должна быть представлена в различных моделях, ассортимент должен содержать обувь на утепленной подкладке. Обувь должна надежно фиксироваться на ноге в аппарате.</w:t>
            </w:r>
          </w:p>
        </w:tc>
        <w:tc>
          <w:tcPr>
            <w:tcW w:w="810" w:type="pct"/>
          </w:tcPr>
          <w:p w:rsidR="00D345B3" w:rsidRPr="0006251B" w:rsidRDefault="00D345B3" w:rsidP="00A17685">
            <w:pPr>
              <w:spacing w:after="60"/>
              <w:jc w:val="center"/>
              <w:rPr>
                <w:sz w:val="20"/>
                <w:szCs w:val="20"/>
              </w:rPr>
            </w:pPr>
            <w:r w:rsidRPr="0006251B">
              <w:rPr>
                <w:sz w:val="20"/>
                <w:szCs w:val="20"/>
              </w:rPr>
              <w:t>Соответствует</w:t>
            </w:r>
          </w:p>
        </w:tc>
        <w:tc>
          <w:tcPr>
            <w:tcW w:w="395" w:type="pct"/>
          </w:tcPr>
          <w:p w:rsidR="00D345B3" w:rsidRPr="0006251B" w:rsidRDefault="00D345B3" w:rsidP="00A17685">
            <w:pPr>
              <w:spacing w:after="60"/>
              <w:jc w:val="center"/>
              <w:rPr>
                <w:sz w:val="20"/>
                <w:szCs w:val="20"/>
              </w:rPr>
            </w:pPr>
            <w:r w:rsidRPr="0006251B">
              <w:rPr>
                <w:sz w:val="20"/>
                <w:szCs w:val="20"/>
              </w:rPr>
              <w:t>пара</w:t>
            </w:r>
          </w:p>
        </w:tc>
        <w:tc>
          <w:tcPr>
            <w:tcW w:w="329" w:type="pct"/>
          </w:tcPr>
          <w:p w:rsidR="00D345B3" w:rsidRPr="0006251B" w:rsidRDefault="00D345B3" w:rsidP="00A17685">
            <w:pPr>
              <w:suppressAutoHyphens/>
              <w:spacing w:after="60"/>
              <w:jc w:val="center"/>
              <w:rPr>
                <w:color w:val="000000"/>
                <w:sz w:val="20"/>
                <w:szCs w:val="20"/>
              </w:rPr>
            </w:pPr>
            <w:r w:rsidRPr="0006251B">
              <w:rPr>
                <w:color w:val="000000"/>
                <w:sz w:val="20"/>
                <w:szCs w:val="20"/>
              </w:rPr>
              <w:t>60</w:t>
            </w:r>
          </w:p>
          <w:p w:rsidR="00D345B3" w:rsidRPr="0006251B" w:rsidRDefault="00D345B3" w:rsidP="00A17685">
            <w:pPr>
              <w:suppressAutoHyphens/>
              <w:spacing w:after="60"/>
              <w:jc w:val="center"/>
              <w:rPr>
                <w:color w:val="000000"/>
                <w:sz w:val="20"/>
                <w:szCs w:val="20"/>
              </w:rPr>
            </w:pPr>
          </w:p>
        </w:tc>
      </w:tr>
      <w:tr w:rsidR="00D345B3" w:rsidRPr="0006251B" w:rsidTr="00D345B3">
        <w:trPr>
          <w:trHeight w:val="463"/>
        </w:trPr>
        <w:tc>
          <w:tcPr>
            <w:tcW w:w="4276" w:type="pct"/>
            <w:gridSpan w:val="4"/>
          </w:tcPr>
          <w:p w:rsidR="00D345B3" w:rsidRPr="0006251B" w:rsidRDefault="00D345B3" w:rsidP="00A17685">
            <w:pPr>
              <w:spacing w:after="60"/>
              <w:jc w:val="right"/>
              <w:rPr>
                <w:sz w:val="20"/>
                <w:szCs w:val="20"/>
              </w:rPr>
            </w:pPr>
            <w:r w:rsidRPr="0006251B">
              <w:rPr>
                <w:sz w:val="20"/>
                <w:szCs w:val="20"/>
              </w:rPr>
              <w:t>ИТОГО</w:t>
            </w:r>
          </w:p>
        </w:tc>
        <w:tc>
          <w:tcPr>
            <w:tcW w:w="395" w:type="pct"/>
          </w:tcPr>
          <w:p w:rsidR="00D345B3" w:rsidRPr="0006251B" w:rsidRDefault="00D345B3" w:rsidP="00A17685">
            <w:pPr>
              <w:spacing w:after="60"/>
              <w:jc w:val="center"/>
              <w:rPr>
                <w:sz w:val="20"/>
                <w:szCs w:val="20"/>
              </w:rPr>
            </w:pPr>
          </w:p>
        </w:tc>
        <w:tc>
          <w:tcPr>
            <w:tcW w:w="329" w:type="pct"/>
          </w:tcPr>
          <w:p w:rsidR="00D345B3" w:rsidRPr="0006251B" w:rsidRDefault="00D345B3" w:rsidP="00A17685">
            <w:pPr>
              <w:suppressAutoHyphens/>
              <w:spacing w:after="60"/>
              <w:jc w:val="center"/>
              <w:rPr>
                <w:color w:val="000000"/>
                <w:sz w:val="20"/>
                <w:szCs w:val="20"/>
              </w:rPr>
            </w:pPr>
            <w:r w:rsidRPr="0006251B">
              <w:rPr>
                <w:color w:val="000000"/>
                <w:sz w:val="20"/>
                <w:szCs w:val="20"/>
              </w:rPr>
              <w:t>177</w:t>
            </w:r>
          </w:p>
        </w:tc>
      </w:tr>
    </w:tbl>
    <w:p w:rsidR="00D345B3" w:rsidRDefault="00D345B3" w:rsidP="00D345B3">
      <w:pPr>
        <w:autoSpaceDE w:val="0"/>
        <w:autoSpaceDN w:val="0"/>
        <w:adjustRightInd w:val="0"/>
        <w:ind w:firstLine="540"/>
        <w:jc w:val="both"/>
        <w:rPr>
          <w:sz w:val="26"/>
          <w:szCs w:val="26"/>
        </w:rPr>
      </w:pPr>
    </w:p>
    <w:p w:rsidR="00D345B3" w:rsidRPr="00B33353" w:rsidRDefault="00D345B3" w:rsidP="00D345B3">
      <w:pPr>
        <w:autoSpaceDE w:val="0"/>
        <w:autoSpaceDN w:val="0"/>
        <w:adjustRightInd w:val="0"/>
        <w:ind w:firstLine="540"/>
        <w:jc w:val="both"/>
        <w:rPr>
          <w:sz w:val="26"/>
          <w:szCs w:val="26"/>
        </w:rPr>
      </w:pPr>
      <w:r w:rsidRPr="00B33353">
        <w:rPr>
          <w:sz w:val="26"/>
          <w:szCs w:val="26"/>
        </w:rPr>
        <w:t xml:space="preserve">Соответствие ГОСТа: ГОСТ ISO 10993-1-2021 «Межгосударственный стандарт. Изделия медицинские. Оценка биологического действия медицинских изделий.», ГОСТ ISO 10993-5-2011 «Межгосударственный стандарт. Изделия медицинские. Оценка биологического действия медицинских изделий. Часть 5. Исследования на цитотоксичность: методы in vitro»,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52770-2016 «Изделия медицинские» п.4. Общие положения. </w:t>
      </w:r>
    </w:p>
    <w:p w:rsidR="00D345B3" w:rsidRDefault="00D345B3" w:rsidP="00D345B3">
      <w:pPr>
        <w:autoSpaceDE w:val="0"/>
        <w:autoSpaceDN w:val="0"/>
        <w:adjustRightInd w:val="0"/>
        <w:ind w:firstLine="540"/>
        <w:jc w:val="both"/>
        <w:rPr>
          <w:sz w:val="26"/>
          <w:szCs w:val="26"/>
        </w:rPr>
      </w:pPr>
      <w:r w:rsidRPr="00B33353">
        <w:rPr>
          <w:sz w:val="26"/>
          <w:szCs w:val="26"/>
        </w:rPr>
        <w:t xml:space="preserve">Ортопедическая обувь должна соответствовать ГОСТ Р 55638-2021 «Национальный стандарт Российской Федерации. Услуги по изготовлению ортопедической обуви. Состав и содержание услуг. Требование безопасности».  </w:t>
      </w:r>
    </w:p>
    <w:p w:rsidR="00C937D4" w:rsidRDefault="00C937D4" w:rsidP="009A4C9B">
      <w:pPr>
        <w:spacing w:after="160" w:line="259" w:lineRule="auto"/>
        <w:jc w:val="both"/>
      </w:pPr>
    </w:p>
    <w:sectPr w:rsidR="00C937D4"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FCA" w:rsidRDefault="006D6FCA" w:rsidP="00D7115C">
      <w:r>
        <w:separator/>
      </w:r>
    </w:p>
  </w:endnote>
  <w:endnote w:type="continuationSeparator" w:id="0">
    <w:p w:rsidR="006D6FCA" w:rsidRDefault="006D6FCA"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FCA" w:rsidRDefault="006D6FCA" w:rsidP="00D7115C">
      <w:r>
        <w:separator/>
      </w:r>
    </w:p>
  </w:footnote>
  <w:footnote w:type="continuationSeparator" w:id="0">
    <w:p w:rsidR="006D6FCA" w:rsidRDefault="006D6FCA" w:rsidP="00D71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844E3"/>
    <w:multiLevelType w:val="hybridMultilevel"/>
    <w:tmpl w:val="17022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6">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8"/>
  </w:num>
  <w:num w:numId="4">
    <w:abstractNumId w:val="12"/>
  </w:num>
  <w:num w:numId="5">
    <w:abstractNumId w:val="27"/>
  </w:num>
  <w:num w:numId="6">
    <w:abstractNumId w:val="26"/>
  </w:num>
  <w:num w:numId="7">
    <w:abstractNumId w:val="21"/>
  </w:num>
  <w:num w:numId="8">
    <w:abstractNumId w:val="13"/>
  </w:num>
  <w:num w:numId="9">
    <w:abstractNumId w:val="10"/>
  </w:num>
  <w:num w:numId="10">
    <w:abstractNumId w:val="7"/>
  </w:num>
  <w:num w:numId="11">
    <w:abstractNumId w:val="24"/>
  </w:num>
  <w:num w:numId="12">
    <w:abstractNumId w:val="8"/>
  </w:num>
  <w:num w:numId="13">
    <w:abstractNumId w:val="28"/>
  </w:num>
  <w:num w:numId="14">
    <w:abstractNumId w:val="29"/>
  </w:num>
  <w:num w:numId="15">
    <w:abstractNumId w:val="19"/>
  </w:num>
  <w:num w:numId="16">
    <w:abstractNumId w:val="14"/>
  </w:num>
  <w:num w:numId="17">
    <w:abstractNumId w:val="9"/>
  </w:num>
  <w:num w:numId="18">
    <w:abstractNumId w:val="4"/>
  </w:num>
  <w:num w:numId="19">
    <w:abstractNumId w:val="15"/>
  </w:num>
  <w:num w:numId="20">
    <w:abstractNumId w:val="5"/>
  </w:num>
  <w:num w:numId="21">
    <w:abstractNumId w:val="0"/>
  </w:num>
  <w:num w:numId="22">
    <w:abstractNumId w:val="25"/>
  </w:num>
  <w:num w:numId="23">
    <w:abstractNumId w:val="17"/>
  </w:num>
  <w:num w:numId="24">
    <w:abstractNumId w:val="22"/>
  </w:num>
  <w:num w:numId="25">
    <w:abstractNumId w:val="23"/>
  </w:num>
  <w:num w:numId="26">
    <w:abstractNumId w:val="11"/>
  </w:num>
  <w:num w:numId="27">
    <w:abstractNumId w:val="16"/>
  </w:num>
  <w:num w:numId="28">
    <w:abstractNumId w:val="20"/>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739C0"/>
    <w:rsid w:val="000A357E"/>
    <w:rsid w:val="000A37D4"/>
    <w:rsid w:val="000D3DE0"/>
    <w:rsid w:val="00126DEB"/>
    <w:rsid w:val="001370D2"/>
    <w:rsid w:val="00181CF7"/>
    <w:rsid w:val="00195EEB"/>
    <w:rsid w:val="001A1B23"/>
    <w:rsid w:val="001C1494"/>
    <w:rsid w:val="00251D72"/>
    <w:rsid w:val="00292377"/>
    <w:rsid w:val="00310864"/>
    <w:rsid w:val="003210F2"/>
    <w:rsid w:val="0032596B"/>
    <w:rsid w:val="003322AA"/>
    <w:rsid w:val="00333A18"/>
    <w:rsid w:val="003C0632"/>
    <w:rsid w:val="003D486E"/>
    <w:rsid w:val="003E36EE"/>
    <w:rsid w:val="00427C62"/>
    <w:rsid w:val="00457089"/>
    <w:rsid w:val="004667AA"/>
    <w:rsid w:val="004B058A"/>
    <w:rsid w:val="004C04C5"/>
    <w:rsid w:val="004C1D05"/>
    <w:rsid w:val="004D497F"/>
    <w:rsid w:val="004F2140"/>
    <w:rsid w:val="0054353B"/>
    <w:rsid w:val="00585EDA"/>
    <w:rsid w:val="005935A0"/>
    <w:rsid w:val="005D4418"/>
    <w:rsid w:val="005F2386"/>
    <w:rsid w:val="0064079A"/>
    <w:rsid w:val="006748AA"/>
    <w:rsid w:val="006D6FCA"/>
    <w:rsid w:val="006F603A"/>
    <w:rsid w:val="007214BD"/>
    <w:rsid w:val="007670F9"/>
    <w:rsid w:val="007A0C01"/>
    <w:rsid w:val="007C105E"/>
    <w:rsid w:val="007F2A0B"/>
    <w:rsid w:val="00812F5F"/>
    <w:rsid w:val="00842A50"/>
    <w:rsid w:val="00852E8C"/>
    <w:rsid w:val="00896D3D"/>
    <w:rsid w:val="008A00DE"/>
    <w:rsid w:val="008A35F0"/>
    <w:rsid w:val="008D1CE7"/>
    <w:rsid w:val="009226AD"/>
    <w:rsid w:val="009277FE"/>
    <w:rsid w:val="009A4C9B"/>
    <w:rsid w:val="009C26AF"/>
    <w:rsid w:val="00A10A2B"/>
    <w:rsid w:val="00A244B5"/>
    <w:rsid w:val="00A520C7"/>
    <w:rsid w:val="00A54B05"/>
    <w:rsid w:val="00A978CB"/>
    <w:rsid w:val="00AC04AF"/>
    <w:rsid w:val="00AD58F0"/>
    <w:rsid w:val="00B201AE"/>
    <w:rsid w:val="00B45B9E"/>
    <w:rsid w:val="00B63052"/>
    <w:rsid w:val="00BB7977"/>
    <w:rsid w:val="00BD0B4D"/>
    <w:rsid w:val="00BE167F"/>
    <w:rsid w:val="00C13BAF"/>
    <w:rsid w:val="00C1613C"/>
    <w:rsid w:val="00C937D4"/>
    <w:rsid w:val="00CA3011"/>
    <w:rsid w:val="00CA4582"/>
    <w:rsid w:val="00CB0C96"/>
    <w:rsid w:val="00CB473D"/>
    <w:rsid w:val="00CC1AB3"/>
    <w:rsid w:val="00CE28E3"/>
    <w:rsid w:val="00CF1971"/>
    <w:rsid w:val="00D01082"/>
    <w:rsid w:val="00D20ED9"/>
    <w:rsid w:val="00D345B3"/>
    <w:rsid w:val="00D7115C"/>
    <w:rsid w:val="00D8164D"/>
    <w:rsid w:val="00D865A8"/>
    <w:rsid w:val="00DB3240"/>
    <w:rsid w:val="00DC4D5C"/>
    <w:rsid w:val="00E35808"/>
    <w:rsid w:val="00E46D81"/>
    <w:rsid w:val="00ED4626"/>
    <w:rsid w:val="00F20102"/>
    <w:rsid w:val="00F34F37"/>
    <w:rsid w:val="00FA700E"/>
    <w:rsid w:val="00FD6887"/>
    <w:rsid w:val="00FF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nhideWhenUsed/>
    <w:rsid w:val="00427C62"/>
    <w:rPr>
      <w:rFonts w:ascii="Tahoma" w:eastAsiaTheme="minorEastAsia" w:hAnsi="Tahoma" w:cs="Tahoma"/>
      <w:sz w:val="16"/>
      <w:szCs w:val="16"/>
    </w:rPr>
  </w:style>
  <w:style w:type="character" w:customStyle="1" w:styleId="a7">
    <w:name w:val="Текст выноски Знак"/>
    <w:basedOn w:val="a0"/>
    <w:link w:val="a6"/>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704</Words>
  <Characters>4014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56</cp:revision>
  <dcterms:created xsi:type="dcterms:W3CDTF">2020-08-12T05:43:00Z</dcterms:created>
  <dcterms:modified xsi:type="dcterms:W3CDTF">2022-05-20T11:44:00Z</dcterms:modified>
</cp:coreProperties>
</file>