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094656">
        <w:rPr>
          <w:rFonts w:eastAsia="Times New Roman CYR" w:cs="Times New Roman"/>
          <w:b/>
          <w:bCs/>
          <w:color w:val="000000"/>
          <w:sz w:val="20"/>
          <w:szCs w:val="20"/>
        </w:rPr>
        <w:t>Извещению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</w:t>
      </w:r>
      <w:r w:rsidR="00762455">
        <w:rPr>
          <w:rFonts w:eastAsia="Times New Roman CYR" w:cs="Times New Roman"/>
          <w:b/>
          <w:bCs/>
          <w:sz w:val="20"/>
          <w:szCs w:val="20"/>
        </w:rPr>
        <w:t>ортопедическими изделиями в 2023</w:t>
      </w:r>
      <w:r>
        <w:rPr>
          <w:rFonts w:eastAsia="Times New Roman CYR" w:cs="Times New Roman"/>
          <w:b/>
          <w:bCs/>
          <w:sz w:val="20"/>
          <w:szCs w:val="20"/>
        </w:rPr>
        <w:t xml:space="preserve">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CB025A" w:rsidRDefault="00CC0234" w:rsidP="00CB025A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BB467E">
        <w:rPr>
          <w:rFonts w:eastAsia="Times New Roman CYR" w:cs="Times New Roman"/>
          <w:sz w:val="20"/>
          <w:szCs w:val="20"/>
        </w:rPr>
        <w:t>в 202</w:t>
      </w:r>
      <w:r w:rsidR="00762455">
        <w:rPr>
          <w:rFonts w:eastAsia="Times New Roman CYR" w:cs="Times New Roman"/>
          <w:sz w:val="20"/>
          <w:szCs w:val="20"/>
        </w:rPr>
        <w:t>3</w:t>
      </w:r>
      <w:r w:rsidR="00BB467E">
        <w:rPr>
          <w:rFonts w:eastAsia="Times New Roman CYR" w:cs="Times New Roman"/>
          <w:sz w:val="20"/>
          <w:szCs w:val="20"/>
        </w:rPr>
        <w:t xml:space="preserve"> году:</w:t>
      </w:r>
      <w:r>
        <w:rPr>
          <w:rFonts w:eastAsia="Times New Roman CYR" w:cs="Times New Roman"/>
          <w:sz w:val="20"/>
          <w:szCs w:val="20"/>
        </w:rPr>
        <w:t xml:space="preserve"> </w:t>
      </w:r>
    </w:p>
    <w:p w:rsidR="00BB467E" w:rsidRDefault="00B9298E" w:rsidP="00CB025A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bookmarkStart w:id="0" w:name="_GoBack"/>
      <w:r>
        <w:rPr>
          <w:rFonts w:eastAsia="Times New Roman CYR" w:cs="Times New Roman"/>
          <w:b/>
          <w:bCs/>
          <w:sz w:val="20"/>
          <w:szCs w:val="20"/>
        </w:rPr>
        <w:t>Протез верхних</w:t>
      </w:r>
      <w:r w:rsidR="00C45FB7">
        <w:rPr>
          <w:rFonts w:eastAsia="Times New Roman CYR" w:cs="Times New Roman"/>
          <w:b/>
          <w:bCs/>
          <w:sz w:val="20"/>
          <w:szCs w:val="20"/>
        </w:rPr>
        <w:t xml:space="preserve"> конечностей</w:t>
      </w:r>
    </w:p>
    <w:bookmarkEnd w:id="0"/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735"/>
        <w:gridCol w:w="1415"/>
      </w:tblGrid>
      <w:tr w:rsidR="00CF2095" w:rsidTr="00C45FB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A40AD2" w:rsidTr="00C45FB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унифицированная;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отсутствует;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косметическая из ПВХ при частичной ампутации пальцев с арматурой в пальцах, застежкой (молния/контакт) / кисть косметическая из ПВХ с арматурой в пальцах однослойная/двухслойная;</w:t>
            </w:r>
          </w:p>
          <w:p w:rsidR="00A40AD2" w:rsidRPr="00A40AD2" w:rsidRDefault="00A40AD2" w:rsidP="00A40AD2">
            <w:pPr>
              <w:pStyle w:val="Standard"/>
              <w:rPr>
                <w:rFonts w:eastAsia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sah-RU" w:eastAsia="ru-RU"/>
              </w:rPr>
              <w:t>Назначение протеза: косметический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BD1F90" w:rsidP="00A40AD2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14 117,58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762455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BD1F90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338 821,92</w:t>
            </w:r>
          </w:p>
        </w:tc>
      </w:tr>
      <w:tr w:rsidR="00A40AD2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кисти рабочий, в том числе при вычленении и частичном вычленении кисти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отсутствует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составная, изготовленная по слепку с культи инвалида;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натуральная кожа;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приемных гильз: постоянная – 1шт.;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комплект рабочих насадок;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сохранившимся сегментом руки или противоупором (функционально-косметический);</w:t>
            </w:r>
          </w:p>
          <w:p w:rsidR="00A40AD2" w:rsidRPr="00A40AD2" w:rsidRDefault="00A40AD2" w:rsidP="00A40AD2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рабочий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BD1F90" w:rsidP="00A40AD2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74 195,74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762455" w:rsidP="00A40AD2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762455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1 335 523,32</w:t>
            </w:r>
          </w:p>
        </w:tc>
      </w:tr>
      <w:tr w:rsidR="00A40AD2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косметический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Textbody"/>
              <w:keepNext/>
              <w:autoSpaceDE w:val="0"/>
              <w:snapToGrid w:val="0"/>
              <w:ind w:right="43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предплечья косметический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или перчатки;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одинарная;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листовой термопласт или слоистый пластик на основе акриловых смол;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косметическая из ПВХ при частичной ампутации пальцев с арматурой в пальцах или кисть тяговая с пассивным хватом</w:t>
            </w:r>
          </w:p>
          <w:p w:rsidR="00A40AD2" w:rsidRPr="00A40AD2" w:rsidRDefault="00A40AD2" w:rsidP="00A40AD2">
            <w:pPr>
              <w:pStyle w:val="Textbody"/>
              <w:autoSpaceDE w:val="0"/>
              <w:snapToGrid w:val="0"/>
              <w:ind w:right="43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Назначение протеза: косметический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CB025A" w:rsidP="00A40AD2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87 316,05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762455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762455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785 844,45</w:t>
            </w:r>
          </w:p>
        </w:tc>
      </w:tr>
      <w:tr w:rsidR="00732F7C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рабочий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Протезы предплечья рабочий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отсутствует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составная, изготовленная по слепку с культи инвалида;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листовой термопласт или слоистый пластик на основе акриловых смол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приемных гильз: постоянная – 1шт.;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комплект рабочих насадок;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Система управления протезом: сохранившимся сегментом руки или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противоупором (функционально-косметический);</w:t>
            </w:r>
          </w:p>
          <w:p w:rsidR="00732F7C" w:rsidRPr="00A40AD2" w:rsidRDefault="00732F7C" w:rsidP="00732F7C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рабочий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CB025A" w:rsidP="00732F7C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85 407,95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62455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62455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341 631,80</w:t>
            </w:r>
          </w:p>
        </w:tc>
      </w:tr>
      <w:tr w:rsidR="00732F7C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Протез предплечья активный (тяговый)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предплечья активный (тяговый)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шарнир кистевой несъемный с бесступенчатой изменяемой тугоподвижностью;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механический (тяговый);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с гибкой тягой корпусная с пружинным схватом и пассивным углом ротации;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экзоскелетного типа активный со ступенчатой фиксацией с пассивной ротацией плеча;</w:t>
            </w:r>
          </w:p>
          <w:p w:rsidR="00732F7C" w:rsidRPr="00A40AD2" w:rsidRDefault="00732F7C" w:rsidP="00732F7C">
            <w:pPr>
              <w:pStyle w:val="Standard"/>
              <w:autoSpaceDE w:val="0"/>
              <w:snapToGrid w:val="0"/>
              <w:ind w:right="43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активный (тяговый)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139 539,61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62455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62455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558 158,44</w:t>
            </w:r>
          </w:p>
        </w:tc>
      </w:tr>
      <w:tr w:rsidR="00732F7C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косметический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плеча косметический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с жесткой тягой или без корпусная с пружинным схватом и пассивным узлом ротации;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экзоскелетного типа активный со ступенчатой фиксацией с пассивной ротацией плеча или без;</w:t>
            </w:r>
          </w:p>
          <w:p w:rsidR="00732F7C" w:rsidRPr="00A40AD2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косметический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CB025A" w:rsidP="00732F7C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163 963,26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62455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62455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655 853,04</w:t>
            </w:r>
          </w:p>
        </w:tc>
      </w:tr>
      <w:tr w:rsidR="00732F7C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активный (тяговый)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механический (тяговый);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двухтяговая, каркасная с пружинным схватом с ротацией;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экзоскелетного типа активный со ступенчатой фиксацией с пассивной ротацией плеча;</w:t>
            </w:r>
          </w:p>
          <w:p w:rsidR="00732F7C" w:rsidRPr="00A40AD2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активный (тяговый)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CB025A" w:rsidP="00732F7C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148 543,78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62455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62455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594 175,12</w:t>
            </w:r>
          </w:p>
        </w:tc>
      </w:tr>
      <w:tr w:rsidR="00E87DA4" w:rsidTr="00725CF5">
        <w:trPr>
          <w:trHeight w:val="561"/>
        </w:trPr>
        <w:tc>
          <w:tcPr>
            <w:tcW w:w="109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DA4" w:rsidRDefault="00E87DA4" w:rsidP="00E87DA4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Все изделия должны соответствовать требованиям: ГОСТ Р 51632-2021 (разд. 4, 5), ГОСТ Р ИСО 22523-2007,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10993-1-2021,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10993-5-2011,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10993-10-2011,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10993-11-2011, ГОСТ Р 52770-2016.</w:t>
            </w:r>
          </w:p>
          <w:p w:rsidR="00E87DA4" w:rsidRDefault="00E87DA4" w:rsidP="00E87DA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Arial Cyr" w:cs="Times New Roman"/>
                <w:b/>
                <w:color w:val="000000"/>
                <w:sz w:val="18"/>
                <w:szCs w:val="18"/>
              </w:rPr>
              <w:t>Гарантийный срок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— 12 месяцев</w:t>
            </w:r>
          </w:p>
        </w:tc>
      </w:tr>
      <w:tr w:rsidR="00732F7C" w:rsidTr="00C45FB7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62455" w:rsidP="00732F7C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BD1F90" w:rsidP="00732F7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4 610 008,09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>Начальная (максимальная) цена контракта:</w:t>
      </w:r>
      <w:r w:rsidR="0020205B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762455">
        <w:rPr>
          <w:rFonts w:eastAsia="Times New Roman CYR" w:cs="Times New Roman"/>
          <w:b/>
          <w:bCs/>
          <w:sz w:val="20"/>
          <w:szCs w:val="20"/>
        </w:rPr>
        <w:t>4 610 0</w:t>
      </w:r>
      <w:r w:rsidR="00BD1F90">
        <w:rPr>
          <w:rFonts w:eastAsia="Times New Roman CYR" w:cs="Times New Roman"/>
          <w:b/>
          <w:bCs/>
          <w:sz w:val="20"/>
          <w:szCs w:val="20"/>
        </w:rPr>
        <w:t>08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1A215C"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BD1F90">
        <w:rPr>
          <w:rFonts w:eastAsia="Times New Roman CYR" w:cs="Times New Roman"/>
          <w:b/>
          <w:bCs/>
          <w:sz w:val="20"/>
          <w:szCs w:val="20"/>
        </w:rPr>
        <w:t>0</w:t>
      </w:r>
      <w:r w:rsidR="00762455">
        <w:rPr>
          <w:rFonts w:eastAsia="Times New Roman CYR" w:cs="Times New Roman"/>
          <w:b/>
          <w:bCs/>
          <w:sz w:val="20"/>
          <w:szCs w:val="20"/>
        </w:rPr>
        <w:t>9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протез</w:t>
      </w:r>
      <w:r w:rsidR="00002C1E">
        <w:rPr>
          <w:rFonts w:cs="Times New Roman"/>
          <w:i/>
          <w:sz w:val="20"/>
          <w:szCs w:val="20"/>
        </w:rPr>
        <w:t>ов</w:t>
      </w:r>
      <w:r>
        <w:rPr>
          <w:rFonts w:cs="Times New Roman"/>
          <w:i/>
          <w:sz w:val="20"/>
          <w:szCs w:val="20"/>
        </w:rPr>
        <w:t xml:space="preserve"> </w:t>
      </w:r>
      <w:r w:rsidR="00CB025A">
        <w:rPr>
          <w:rFonts w:cs="Times New Roman"/>
          <w:i/>
          <w:sz w:val="20"/>
          <w:szCs w:val="20"/>
        </w:rPr>
        <w:t>верхних</w:t>
      </w:r>
      <w:r w:rsidR="00C45FB7">
        <w:rPr>
          <w:rFonts w:cs="Times New Roman"/>
          <w:i/>
          <w:sz w:val="20"/>
          <w:szCs w:val="20"/>
        </w:rPr>
        <w:t xml:space="preserve"> конечностей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«</w:t>
      </w:r>
      <w:r w:rsidR="00E90BAD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» </w:t>
      </w:r>
      <w:r w:rsidR="00762455">
        <w:rPr>
          <w:rFonts w:cs="Times New Roman"/>
          <w:sz w:val="20"/>
          <w:szCs w:val="20"/>
        </w:rPr>
        <w:t>сентября 2023</w:t>
      </w:r>
      <w:r>
        <w:rPr>
          <w:rFonts w:cs="Times New Roman"/>
          <w:sz w:val="20"/>
          <w:szCs w:val="20"/>
        </w:rPr>
        <w:t xml:space="preserve">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8D" w:rsidRDefault="0010618D">
      <w:r>
        <w:separator/>
      </w:r>
    </w:p>
  </w:endnote>
  <w:endnote w:type="continuationSeparator" w:id="0">
    <w:p w:rsidR="0010618D" w:rsidRDefault="0010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8D" w:rsidRDefault="0010618D">
      <w:r>
        <w:rPr>
          <w:color w:val="000000"/>
        </w:rPr>
        <w:separator/>
      </w:r>
    </w:p>
  </w:footnote>
  <w:footnote w:type="continuationSeparator" w:id="0">
    <w:p w:rsidR="0010618D" w:rsidRDefault="0010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39A362CA"/>
    <w:multiLevelType w:val="multilevel"/>
    <w:tmpl w:val="33828850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652D4"/>
    <w:rsid w:val="00094656"/>
    <w:rsid w:val="000C1EAC"/>
    <w:rsid w:val="0010618D"/>
    <w:rsid w:val="001A215C"/>
    <w:rsid w:val="001D0CD0"/>
    <w:rsid w:val="0020205B"/>
    <w:rsid w:val="00212EC6"/>
    <w:rsid w:val="002D1C7E"/>
    <w:rsid w:val="003671C6"/>
    <w:rsid w:val="003B7AC9"/>
    <w:rsid w:val="0045538C"/>
    <w:rsid w:val="00472AD7"/>
    <w:rsid w:val="005350C7"/>
    <w:rsid w:val="005B3017"/>
    <w:rsid w:val="00600F9F"/>
    <w:rsid w:val="00685B13"/>
    <w:rsid w:val="006A679A"/>
    <w:rsid w:val="00732F7C"/>
    <w:rsid w:val="00762455"/>
    <w:rsid w:val="008A73E5"/>
    <w:rsid w:val="008B2F08"/>
    <w:rsid w:val="00943297"/>
    <w:rsid w:val="00A40AD2"/>
    <w:rsid w:val="00AF5A0E"/>
    <w:rsid w:val="00B23CF4"/>
    <w:rsid w:val="00B8032B"/>
    <w:rsid w:val="00B9298E"/>
    <w:rsid w:val="00BB467E"/>
    <w:rsid w:val="00BD1F90"/>
    <w:rsid w:val="00C45FB7"/>
    <w:rsid w:val="00C908C6"/>
    <w:rsid w:val="00CB025A"/>
    <w:rsid w:val="00CC0234"/>
    <w:rsid w:val="00CF2095"/>
    <w:rsid w:val="00D47264"/>
    <w:rsid w:val="00D63BEC"/>
    <w:rsid w:val="00DE2FB5"/>
    <w:rsid w:val="00E87DA4"/>
    <w:rsid w:val="00E90BAD"/>
    <w:rsid w:val="00F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6AE3-C2BF-4BED-A259-7C886CA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Безрукова Елена Евгеньевна</cp:lastModifiedBy>
  <cp:revision>24</cp:revision>
  <cp:lastPrinted>2022-10-10T08:28:00Z</cp:lastPrinted>
  <dcterms:created xsi:type="dcterms:W3CDTF">2022-06-29T01:32:00Z</dcterms:created>
  <dcterms:modified xsi:type="dcterms:W3CDTF">2022-10-10T08:28:00Z</dcterms:modified>
</cp:coreProperties>
</file>