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96" w:rsidRPr="00E26702" w:rsidRDefault="009226AD" w:rsidP="00AA4796">
      <w:pPr>
        <w:ind w:firstLine="709"/>
        <w:jc w:val="both"/>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AA4796" w:rsidRPr="00E26702">
        <w:t>Поставка осуществляется на территории Ханты-Мансийского автономного округа – Югры на выбор Получателя: по месту жительства Получателя или до специально оборудованного для маломобильных групп населения пункта выдачи, находящегося в одном с получателем населенном пункте.</w:t>
      </w:r>
    </w:p>
    <w:p w:rsidR="00AA4796" w:rsidRDefault="00AA4796" w:rsidP="00AA4796">
      <w:pPr>
        <w:ind w:firstLine="709"/>
        <w:jc w:val="both"/>
        <w:rPr>
          <w:b/>
          <w:bCs/>
          <w:kern w:val="1"/>
        </w:rPr>
      </w:pPr>
    </w:p>
    <w:p w:rsidR="00AA4796" w:rsidRPr="00E26702" w:rsidRDefault="009226AD" w:rsidP="00AA4796">
      <w:pPr>
        <w:ind w:firstLine="709"/>
        <w:jc w:val="both"/>
        <w:rPr>
          <w:i/>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AA4796">
        <w:t xml:space="preserve">Передать Товар </w:t>
      </w:r>
      <w:r w:rsidR="00AA4796" w:rsidRPr="00E26702">
        <w:rPr>
          <w:color w:val="000000"/>
        </w:rPr>
        <w:t xml:space="preserve">непосредственно Получателю на основании направления в течение </w:t>
      </w:r>
      <w:r w:rsidR="00AA4796" w:rsidRPr="00E26702">
        <w:t>30 календарных дней</w:t>
      </w:r>
      <w:r w:rsidR="00AA4796">
        <w:t>, а в отношении</w:t>
      </w:r>
      <w:r w:rsidR="00AA4796" w:rsidRPr="00E26702">
        <w:t xml:space="preserve"> </w:t>
      </w:r>
      <w:r w:rsidR="00AA4796">
        <w:t>Получателей из числа инвалидов, нуждающихся в оказании паллиативной медицинской помощи,</w:t>
      </w:r>
      <w:r w:rsidR="00AA4796">
        <w:rPr>
          <w:i/>
          <w:color w:val="FF0000"/>
        </w:rPr>
        <w:t xml:space="preserve"> </w:t>
      </w:r>
      <w:r w:rsidR="00AA4796" w:rsidRPr="00AA08CE">
        <w:t>не более 7 календарных дней</w:t>
      </w:r>
      <w:r w:rsidR="00AA4796" w:rsidRPr="00E26702">
        <w:t>,</w:t>
      </w:r>
      <w:r w:rsidR="00AA4796" w:rsidRPr="00E26702">
        <w:rPr>
          <w:color w:val="000000"/>
        </w:rPr>
        <w:t xml:space="preserve"> с момента</w:t>
      </w:r>
      <w:r w:rsidR="00AA4796" w:rsidRPr="00E26702">
        <w:t xml:space="preserve"> направления Заказчиком (филиалом Заказчика) Списка Получателей</w:t>
      </w:r>
      <w:r w:rsidR="00AA4796">
        <w:t>, но не ранее 09.01.2023 года</w:t>
      </w:r>
      <w:r w:rsidR="00AA4796" w:rsidRPr="00E26702">
        <w:t xml:space="preserve">. Последняя выдача Товара Получателям в рамках государственного контракта должна быть осуществлена </w:t>
      </w:r>
      <w:r w:rsidR="00AA4796" w:rsidRPr="005772BE">
        <w:t>не позднее 30.11.2023 года</w:t>
      </w:r>
      <w:r w:rsidR="00AA4796">
        <w:rPr>
          <w:i/>
        </w:rPr>
        <w:t>.</w:t>
      </w:r>
    </w:p>
    <w:p w:rsidR="00AA4796" w:rsidRDefault="00AA4796" w:rsidP="009A4C9B">
      <w:pPr>
        <w:spacing w:after="160" w:line="259" w:lineRule="auto"/>
        <w:jc w:val="both"/>
        <w:rPr>
          <w:b/>
        </w:rPr>
      </w:pP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040"/>
        <w:gridCol w:w="4517"/>
        <w:gridCol w:w="1648"/>
        <w:gridCol w:w="689"/>
        <w:gridCol w:w="726"/>
      </w:tblGrid>
      <w:tr w:rsidR="00363927" w:rsidRPr="00363927" w:rsidTr="002908B3">
        <w:trPr>
          <w:cantSplit/>
          <w:trHeight w:val="345"/>
        </w:trPr>
        <w:tc>
          <w:tcPr>
            <w:tcW w:w="336" w:type="pct"/>
            <w:vMerge w:val="restart"/>
            <w:vAlign w:val="center"/>
          </w:tcPr>
          <w:p w:rsidR="00363927" w:rsidRPr="00363927" w:rsidRDefault="00363927" w:rsidP="008A20C4">
            <w:pPr>
              <w:widowControl w:val="0"/>
              <w:suppressAutoHyphens/>
              <w:jc w:val="center"/>
              <w:rPr>
                <w:rFonts w:eastAsia="Lucida Sans Unicode" w:cs="Tahoma"/>
                <w:color w:val="000000"/>
                <w:kern w:val="1"/>
                <w:lang w:val="en-US" w:eastAsia="en-US" w:bidi="en-US"/>
              </w:rPr>
            </w:pPr>
            <w:r w:rsidRPr="00363927">
              <w:rPr>
                <w:rFonts w:eastAsia="Lucida Sans Unicode" w:cs="Tahoma"/>
                <w:color w:val="000000"/>
                <w:kern w:val="1"/>
                <w:lang w:val="en-US" w:eastAsia="en-US" w:bidi="en-US"/>
              </w:rPr>
              <w:t>№</w:t>
            </w:r>
          </w:p>
          <w:p w:rsidR="00363927" w:rsidRPr="00363927" w:rsidRDefault="00363927" w:rsidP="008A20C4">
            <w:pPr>
              <w:widowControl w:val="0"/>
              <w:suppressAutoHyphens/>
              <w:jc w:val="center"/>
              <w:rPr>
                <w:rFonts w:eastAsia="Lucida Sans Unicode" w:cs="Tahoma"/>
                <w:color w:val="000000"/>
                <w:kern w:val="1"/>
                <w:lang w:val="en-US" w:eastAsia="en-US" w:bidi="en-US"/>
              </w:rPr>
            </w:pPr>
            <w:r w:rsidRPr="00363927">
              <w:rPr>
                <w:rFonts w:eastAsia="Lucida Sans Unicode" w:cs="Tahoma"/>
                <w:color w:val="000000"/>
                <w:kern w:val="1"/>
                <w:lang w:val="en-US" w:eastAsia="en-US" w:bidi="en-US"/>
              </w:rPr>
              <w:t>п/п</w:t>
            </w:r>
          </w:p>
        </w:tc>
        <w:tc>
          <w:tcPr>
            <w:tcW w:w="989" w:type="pct"/>
            <w:vMerge w:val="restart"/>
            <w:vAlign w:val="center"/>
          </w:tcPr>
          <w:p w:rsidR="00363927" w:rsidRPr="00363927" w:rsidRDefault="00363927" w:rsidP="008A20C4">
            <w:pPr>
              <w:widowControl w:val="0"/>
              <w:suppressAutoHyphens/>
              <w:jc w:val="center"/>
              <w:rPr>
                <w:rFonts w:eastAsia="Lucida Sans Unicode" w:cs="Tahoma"/>
                <w:color w:val="000000"/>
                <w:kern w:val="1"/>
                <w:lang w:val="en-US" w:eastAsia="en-US" w:bidi="en-US"/>
              </w:rPr>
            </w:pPr>
            <w:r w:rsidRPr="00363927">
              <w:t>Наименование</w:t>
            </w:r>
          </w:p>
        </w:tc>
        <w:tc>
          <w:tcPr>
            <w:tcW w:w="2988" w:type="pct"/>
            <w:gridSpan w:val="2"/>
          </w:tcPr>
          <w:p w:rsidR="00363927" w:rsidRPr="00363927" w:rsidRDefault="00363927" w:rsidP="008A20C4">
            <w:pPr>
              <w:widowControl w:val="0"/>
              <w:suppressAutoHyphens/>
              <w:autoSpaceDE w:val="0"/>
              <w:autoSpaceDN w:val="0"/>
              <w:adjustRightInd w:val="0"/>
              <w:jc w:val="center"/>
              <w:rPr>
                <w:rFonts w:eastAsia="Andale Sans UI"/>
                <w:kern w:val="1"/>
                <w:lang w:eastAsia="ar-SA"/>
              </w:rPr>
            </w:pPr>
            <w:r w:rsidRPr="00363927">
              <w:rPr>
                <w:rFonts w:eastAsia="Andale Sans UI"/>
                <w:kern w:val="1"/>
                <w:lang w:eastAsia="ar-SA"/>
              </w:rPr>
              <w:t>Описание (характеристики) объекта закупки</w:t>
            </w:r>
          </w:p>
        </w:tc>
        <w:tc>
          <w:tcPr>
            <w:tcW w:w="334" w:type="pct"/>
            <w:vMerge w:val="restart"/>
          </w:tcPr>
          <w:p w:rsidR="00363927" w:rsidRPr="00363927" w:rsidRDefault="00363927" w:rsidP="008A20C4">
            <w:pPr>
              <w:widowControl w:val="0"/>
              <w:suppressAutoHyphens/>
              <w:jc w:val="center"/>
              <w:rPr>
                <w:rFonts w:eastAsia="Lucida Sans Unicode" w:cs="Tahoma"/>
                <w:color w:val="000000"/>
                <w:kern w:val="1"/>
                <w:lang w:eastAsia="en-US" w:bidi="en-US"/>
              </w:rPr>
            </w:pPr>
          </w:p>
          <w:p w:rsidR="00363927" w:rsidRPr="00363927" w:rsidRDefault="00363927" w:rsidP="008A20C4">
            <w:pPr>
              <w:widowControl w:val="0"/>
              <w:suppressAutoHyphens/>
              <w:jc w:val="center"/>
              <w:rPr>
                <w:rFonts w:eastAsia="Lucida Sans Unicode" w:cs="Tahoma"/>
                <w:color w:val="000000"/>
                <w:kern w:val="1"/>
                <w:lang w:eastAsia="en-US" w:bidi="en-US"/>
              </w:rPr>
            </w:pPr>
          </w:p>
          <w:p w:rsidR="00363927" w:rsidRPr="00363927" w:rsidRDefault="00363927" w:rsidP="008A20C4">
            <w:pPr>
              <w:widowControl w:val="0"/>
              <w:suppressAutoHyphens/>
              <w:jc w:val="center"/>
              <w:rPr>
                <w:rFonts w:eastAsia="Lucida Sans Unicode" w:cs="Tahoma"/>
                <w:color w:val="000000"/>
                <w:kern w:val="1"/>
                <w:lang w:eastAsia="en-US" w:bidi="en-US"/>
              </w:rPr>
            </w:pPr>
            <w:r w:rsidRPr="00363927">
              <w:rPr>
                <w:rFonts w:eastAsia="Lucida Sans Unicode" w:cs="Tahoma"/>
                <w:color w:val="000000"/>
                <w:kern w:val="1"/>
                <w:lang w:eastAsia="en-US" w:bidi="en-US"/>
              </w:rPr>
              <w:t>Ед. изм.</w:t>
            </w:r>
          </w:p>
        </w:tc>
        <w:tc>
          <w:tcPr>
            <w:tcW w:w="353" w:type="pct"/>
            <w:vMerge w:val="restart"/>
          </w:tcPr>
          <w:p w:rsidR="00363927" w:rsidRPr="00363927" w:rsidRDefault="00363927" w:rsidP="008A20C4">
            <w:pPr>
              <w:widowControl w:val="0"/>
              <w:suppressAutoHyphens/>
              <w:jc w:val="center"/>
              <w:rPr>
                <w:rFonts w:eastAsia="Lucida Sans Unicode" w:cs="Tahoma"/>
                <w:color w:val="000000"/>
                <w:kern w:val="1"/>
                <w:lang w:eastAsia="en-US" w:bidi="en-US"/>
              </w:rPr>
            </w:pPr>
          </w:p>
          <w:p w:rsidR="00363927" w:rsidRPr="00363927" w:rsidRDefault="00363927" w:rsidP="008A20C4">
            <w:pPr>
              <w:widowControl w:val="0"/>
              <w:suppressAutoHyphens/>
              <w:jc w:val="center"/>
              <w:rPr>
                <w:rFonts w:eastAsia="Lucida Sans Unicode" w:cs="Tahoma"/>
                <w:color w:val="000000"/>
                <w:kern w:val="1"/>
                <w:lang w:eastAsia="en-US" w:bidi="en-US"/>
              </w:rPr>
            </w:pPr>
          </w:p>
          <w:p w:rsidR="00363927" w:rsidRPr="00363927" w:rsidRDefault="00363927" w:rsidP="008A20C4">
            <w:pPr>
              <w:widowControl w:val="0"/>
              <w:suppressAutoHyphens/>
              <w:jc w:val="center"/>
              <w:rPr>
                <w:rFonts w:eastAsia="Lucida Sans Unicode" w:cs="Tahoma"/>
                <w:color w:val="000000"/>
                <w:kern w:val="1"/>
                <w:lang w:eastAsia="en-US" w:bidi="en-US"/>
              </w:rPr>
            </w:pPr>
            <w:r w:rsidRPr="00363927">
              <w:rPr>
                <w:rFonts w:eastAsia="Lucida Sans Unicode" w:cs="Tahoma"/>
                <w:color w:val="000000"/>
                <w:kern w:val="1"/>
                <w:lang w:eastAsia="en-US" w:bidi="en-US"/>
              </w:rPr>
              <w:t>Кол-во</w:t>
            </w:r>
          </w:p>
        </w:tc>
      </w:tr>
      <w:tr w:rsidR="00363927" w:rsidRPr="00363927" w:rsidTr="002908B3">
        <w:trPr>
          <w:cantSplit/>
          <w:trHeight w:val="1137"/>
        </w:trPr>
        <w:tc>
          <w:tcPr>
            <w:tcW w:w="336" w:type="pct"/>
            <w:vMerge/>
            <w:tcBorders>
              <w:bottom w:val="single" w:sz="4" w:space="0" w:color="auto"/>
            </w:tcBorders>
            <w:vAlign w:val="center"/>
          </w:tcPr>
          <w:p w:rsidR="00363927" w:rsidRPr="00363927" w:rsidRDefault="00363927" w:rsidP="008A20C4">
            <w:pPr>
              <w:widowControl w:val="0"/>
              <w:suppressAutoHyphens/>
              <w:jc w:val="center"/>
              <w:rPr>
                <w:rFonts w:eastAsia="Andale Sans UI"/>
                <w:kern w:val="1"/>
                <w:lang w:eastAsia="ar-SA"/>
              </w:rPr>
            </w:pPr>
          </w:p>
        </w:tc>
        <w:tc>
          <w:tcPr>
            <w:tcW w:w="989" w:type="pct"/>
            <w:vMerge/>
            <w:tcBorders>
              <w:bottom w:val="single" w:sz="4" w:space="0" w:color="auto"/>
            </w:tcBorders>
            <w:vAlign w:val="center"/>
          </w:tcPr>
          <w:p w:rsidR="00363927" w:rsidRPr="00363927" w:rsidRDefault="00363927" w:rsidP="008A20C4">
            <w:pPr>
              <w:widowControl w:val="0"/>
              <w:suppressAutoHyphens/>
              <w:jc w:val="center"/>
              <w:rPr>
                <w:rFonts w:eastAsia="Andale Sans UI"/>
                <w:kern w:val="1"/>
                <w:lang w:eastAsia="ar-SA"/>
              </w:rPr>
            </w:pPr>
          </w:p>
        </w:tc>
        <w:tc>
          <w:tcPr>
            <w:tcW w:w="2190" w:type="pct"/>
            <w:tcBorders>
              <w:bottom w:val="single" w:sz="4" w:space="0" w:color="auto"/>
            </w:tcBorders>
            <w:vAlign w:val="center"/>
          </w:tcPr>
          <w:p w:rsidR="00363927" w:rsidRPr="00363927" w:rsidRDefault="00363927" w:rsidP="00363927">
            <w:pPr>
              <w:jc w:val="center"/>
            </w:pPr>
            <w:r w:rsidRPr="00363927">
              <w:t>Наименование показателя</w:t>
            </w:r>
            <w:r w:rsidRPr="00363927">
              <w:rPr>
                <w:vertAlign w:val="superscript"/>
              </w:rPr>
              <w:footnoteReference w:id="1"/>
            </w:r>
          </w:p>
          <w:p w:rsidR="00363927" w:rsidRPr="00363927" w:rsidRDefault="00363927" w:rsidP="00363927">
            <w:pPr>
              <w:widowControl w:val="0"/>
              <w:suppressAutoHyphens/>
              <w:jc w:val="center"/>
              <w:rPr>
                <w:rFonts w:eastAsia="Andale Sans UI"/>
                <w:color w:val="FF0000"/>
                <w:kern w:val="1"/>
                <w:lang w:eastAsia="ar-SA"/>
              </w:rPr>
            </w:pPr>
            <w:r w:rsidRPr="00363927">
              <w:rPr>
                <w:color w:val="FF0000"/>
              </w:rPr>
              <w:t>(неизменяемое)</w:t>
            </w:r>
          </w:p>
        </w:tc>
        <w:tc>
          <w:tcPr>
            <w:tcW w:w="799" w:type="pct"/>
            <w:tcBorders>
              <w:bottom w:val="single" w:sz="4" w:space="0" w:color="auto"/>
            </w:tcBorders>
            <w:vAlign w:val="center"/>
          </w:tcPr>
          <w:p w:rsidR="00363927" w:rsidRPr="00363927" w:rsidRDefault="00363927" w:rsidP="008A20C4">
            <w:pPr>
              <w:widowControl w:val="0"/>
              <w:suppressAutoHyphens/>
              <w:autoSpaceDE w:val="0"/>
              <w:autoSpaceDN w:val="0"/>
              <w:adjustRightInd w:val="0"/>
              <w:jc w:val="center"/>
              <w:rPr>
                <w:rFonts w:eastAsia="Andale Sans UI"/>
                <w:kern w:val="1"/>
                <w:lang w:eastAsia="ar-SA"/>
              </w:rPr>
            </w:pPr>
            <w:r w:rsidRPr="00363927">
              <w:t>Изменяемое значение показателей (точное значение устанавливает участник закупки)</w:t>
            </w:r>
          </w:p>
        </w:tc>
        <w:tc>
          <w:tcPr>
            <w:tcW w:w="334" w:type="pct"/>
            <w:vMerge/>
            <w:tcBorders>
              <w:bottom w:val="single" w:sz="4" w:space="0" w:color="auto"/>
            </w:tcBorders>
          </w:tcPr>
          <w:p w:rsidR="00363927" w:rsidRPr="00363927" w:rsidRDefault="00363927" w:rsidP="008A20C4">
            <w:pPr>
              <w:widowControl w:val="0"/>
              <w:suppressAutoHyphens/>
              <w:jc w:val="center"/>
              <w:rPr>
                <w:rFonts w:eastAsia="Andale Sans UI"/>
                <w:kern w:val="1"/>
                <w:lang w:eastAsia="ar-SA"/>
              </w:rPr>
            </w:pPr>
          </w:p>
        </w:tc>
        <w:tc>
          <w:tcPr>
            <w:tcW w:w="353" w:type="pct"/>
            <w:vMerge/>
            <w:tcBorders>
              <w:bottom w:val="single" w:sz="4" w:space="0" w:color="auto"/>
            </w:tcBorders>
          </w:tcPr>
          <w:p w:rsidR="00363927" w:rsidRPr="00363927" w:rsidRDefault="00363927" w:rsidP="008A20C4">
            <w:pPr>
              <w:widowControl w:val="0"/>
              <w:suppressAutoHyphens/>
              <w:jc w:val="center"/>
              <w:rPr>
                <w:rFonts w:eastAsia="Andale Sans UI"/>
                <w:kern w:val="1"/>
                <w:lang w:eastAsia="ar-SA"/>
              </w:rPr>
            </w:pPr>
          </w:p>
        </w:tc>
      </w:tr>
      <w:tr w:rsidR="002908B3" w:rsidRPr="00363927" w:rsidTr="002908B3">
        <w:trPr>
          <w:trHeight w:val="211"/>
        </w:trPr>
        <w:tc>
          <w:tcPr>
            <w:tcW w:w="336" w:type="pct"/>
          </w:tcPr>
          <w:p w:rsidR="002908B3" w:rsidRPr="00363927" w:rsidRDefault="002908B3" w:rsidP="002908B3">
            <w:pPr>
              <w:spacing w:after="60"/>
              <w:jc w:val="center"/>
              <w:rPr>
                <w:color w:val="000000"/>
              </w:rPr>
            </w:pPr>
            <w:r w:rsidRPr="00363927">
              <w:rPr>
                <w:color w:val="000000"/>
              </w:rPr>
              <w:t>1</w:t>
            </w:r>
          </w:p>
        </w:tc>
        <w:tc>
          <w:tcPr>
            <w:tcW w:w="989" w:type="pct"/>
          </w:tcPr>
          <w:p w:rsidR="002908B3" w:rsidRPr="002908B3" w:rsidRDefault="002908B3" w:rsidP="002908B3">
            <w:pPr>
              <w:spacing w:after="60"/>
              <w:jc w:val="center"/>
            </w:pPr>
            <w:r w:rsidRPr="002908B3">
              <w:t xml:space="preserve">Бюстгальтер (лиф-крепление) для фиксации </w:t>
            </w:r>
            <w:proofErr w:type="spellStart"/>
            <w:r w:rsidRPr="002908B3">
              <w:t>экзопротеза</w:t>
            </w:r>
            <w:proofErr w:type="spellEnd"/>
            <w:r w:rsidRPr="002908B3">
              <w:t xml:space="preserve"> молочной железы</w:t>
            </w:r>
          </w:p>
        </w:tc>
        <w:tc>
          <w:tcPr>
            <w:tcW w:w="2190" w:type="pct"/>
          </w:tcPr>
          <w:p w:rsidR="002908B3" w:rsidRPr="002908B3" w:rsidRDefault="002908B3" w:rsidP="002908B3">
            <w:pPr>
              <w:spacing w:after="60"/>
              <w:jc w:val="both"/>
            </w:pPr>
            <w:r w:rsidRPr="002908B3">
              <w:t xml:space="preserve">Предназначен для фиксации </w:t>
            </w:r>
            <w:proofErr w:type="spellStart"/>
            <w:r w:rsidRPr="002908B3">
              <w:t>экзопротеза</w:t>
            </w:r>
            <w:proofErr w:type="spellEnd"/>
            <w:r w:rsidRPr="002908B3">
              <w:t xml:space="preserve"> молочной железы после </w:t>
            </w:r>
            <w:proofErr w:type="spellStart"/>
            <w:r w:rsidRPr="002908B3">
              <w:t>мастэктомии</w:t>
            </w:r>
            <w:proofErr w:type="spellEnd"/>
            <w:r w:rsidRPr="002908B3">
              <w:t>.</w:t>
            </w:r>
          </w:p>
          <w:p w:rsidR="002908B3" w:rsidRPr="002908B3" w:rsidRDefault="002908B3" w:rsidP="002908B3">
            <w:pPr>
              <w:spacing w:after="60"/>
              <w:jc w:val="both"/>
            </w:pPr>
            <w:r w:rsidRPr="002908B3">
              <w:t xml:space="preserve">- Материал трикотажное эластичное </w:t>
            </w:r>
            <w:proofErr w:type="spellStart"/>
            <w:r w:rsidRPr="002908B3">
              <w:t>гипоаллергенное</w:t>
            </w:r>
            <w:proofErr w:type="spellEnd"/>
            <w:r w:rsidRPr="002908B3">
              <w:t xml:space="preserve"> полотно;</w:t>
            </w:r>
          </w:p>
          <w:p w:rsidR="002908B3" w:rsidRPr="002908B3" w:rsidRDefault="002908B3" w:rsidP="002908B3">
            <w:pPr>
              <w:spacing w:after="60"/>
              <w:jc w:val="both"/>
            </w:pPr>
            <w:r w:rsidRPr="002908B3">
              <w:t>- широкие эластичные бретели, равномерно распределяющие вес по плечевой зоне, снабженные регуляторами длины;</w:t>
            </w:r>
          </w:p>
          <w:p w:rsidR="002908B3" w:rsidRPr="002908B3" w:rsidRDefault="002908B3" w:rsidP="002908B3">
            <w:pPr>
              <w:spacing w:after="60"/>
              <w:jc w:val="both"/>
            </w:pPr>
            <w:r w:rsidRPr="002908B3">
              <w:t xml:space="preserve">- в чашках карман для размещения </w:t>
            </w:r>
            <w:proofErr w:type="spellStart"/>
            <w:r w:rsidRPr="002908B3">
              <w:t>экзопротеза</w:t>
            </w:r>
            <w:proofErr w:type="spellEnd"/>
            <w:r w:rsidRPr="002908B3">
              <w:t xml:space="preserve"> молочной железы;</w:t>
            </w:r>
          </w:p>
          <w:p w:rsidR="002908B3" w:rsidRPr="002908B3" w:rsidRDefault="002908B3" w:rsidP="002908B3">
            <w:pPr>
              <w:spacing w:after="60"/>
              <w:jc w:val="both"/>
            </w:pPr>
            <w:r w:rsidRPr="002908B3">
              <w:t xml:space="preserve"> - обеспечивает полное закрытие </w:t>
            </w:r>
            <w:proofErr w:type="spellStart"/>
            <w:r w:rsidRPr="002908B3">
              <w:t>постмастэктомических</w:t>
            </w:r>
            <w:proofErr w:type="spellEnd"/>
            <w:r w:rsidRPr="002908B3">
              <w:t xml:space="preserve"> дефектов, плотное прилегание к телу;</w:t>
            </w:r>
          </w:p>
          <w:p w:rsidR="002908B3" w:rsidRPr="002908B3" w:rsidRDefault="002908B3" w:rsidP="002908B3">
            <w:pPr>
              <w:spacing w:after="60"/>
              <w:jc w:val="both"/>
            </w:pPr>
            <w:r w:rsidRPr="002908B3">
              <w:t>- застежки спереди или сзади;</w:t>
            </w:r>
          </w:p>
        </w:tc>
        <w:tc>
          <w:tcPr>
            <w:tcW w:w="799" w:type="pct"/>
          </w:tcPr>
          <w:p w:rsidR="002908B3" w:rsidRPr="002908B3" w:rsidRDefault="002908B3" w:rsidP="002908B3">
            <w:pPr>
              <w:spacing w:after="60"/>
              <w:jc w:val="center"/>
              <w:rPr>
                <w:sz w:val="22"/>
                <w:szCs w:val="22"/>
              </w:rPr>
            </w:pPr>
            <w:r w:rsidRPr="002908B3">
              <w:rPr>
                <w:sz w:val="22"/>
                <w:szCs w:val="22"/>
              </w:rPr>
              <w:t>Соответствует</w:t>
            </w:r>
          </w:p>
        </w:tc>
        <w:tc>
          <w:tcPr>
            <w:tcW w:w="334" w:type="pct"/>
          </w:tcPr>
          <w:p w:rsidR="002908B3" w:rsidRPr="002908B3" w:rsidRDefault="002908B3" w:rsidP="002908B3">
            <w:pPr>
              <w:spacing w:after="60"/>
              <w:jc w:val="center"/>
              <w:rPr>
                <w:color w:val="000000"/>
                <w:sz w:val="22"/>
                <w:szCs w:val="22"/>
              </w:rPr>
            </w:pPr>
            <w:r w:rsidRPr="002908B3">
              <w:rPr>
                <w:color w:val="000000"/>
                <w:sz w:val="22"/>
                <w:szCs w:val="22"/>
              </w:rPr>
              <w:t>Шт.</w:t>
            </w:r>
          </w:p>
        </w:tc>
        <w:tc>
          <w:tcPr>
            <w:tcW w:w="353" w:type="pct"/>
          </w:tcPr>
          <w:p w:rsidR="002908B3" w:rsidRPr="002908B3" w:rsidRDefault="002908B3" w:rsidP="008E43BF">
            <w:pPr>
              <w:spacing w:after="60"/>
              <w:jc w:val="center"/>
              <w:rPr>
                <w:color w:val="000000"/>
                <w:sz w:val="22"/>
                <w:szCs w:val="22"/>
              </w:rPr>
            </w:pPr>
            <w:r w:rsidRPr="002908B3">
              <w:rPr>
                <w:color w:val="000000"/>
                <w:sz w:val="22"/>
                <w:szCs w:val="22"/>
              </w:rPr>
              <w:t>10</w:t>
            </w:r>
            <w:r w:rsidR="008E43BF">
              <w:rPr>
                <w:color w:val="000000"/>
                <w:sz w:val="22"/>
                <w:szCs w:val="22"/>
              </w:rPr>
              <w:t>60</w:t>
            </w:r>
            <w:bookmarkStart w:id="0" w:name="_GoBack"/>
            <w:bookmarkEnd w:id="0"/>
          </w:p>
        </w:tc>
      </w:tr>
    </w:tbl>
    <w:p w:rsidR="00363927" w:rsidRDefault="00363927" w:rsidP="00363927">
      <w:pPr>
        <w:autoSpaceDE w:val="0"/>
        <w:autoSpaceDN w:val="0"/>
        <w:adjustRightInd w:val="0"/>
        <w:ind w:firstLine="540"/>
        <w:jc w:val="both"/>
        <w:rPr>
          <w:sz w:val="26"/>
          <w:szCs w:val="26"/>
        </w:rPr>
      </w:pPr>
    </w:p>
    <w:p w:rsidR="002908B3" w:rsidRPr="002908B3" w:rsidRDefault="002908B3" w:rsidP="002908B3">
      <w:pPr>
        <w:autoSpaceDE w:val="0"/>
        <w:autoSpaceDN w:val="0"/>
        <w:adjustRightInd w:val="0"/>
        <w:ind w:firstLine="540"/>
        <w:jc w:val="both"/>
      </w:pPr>
      <w:r w:rsidRPr="002908B3">
        <w:t>Поставщик гарантирует, что поставляемый Товар соответствует действующим стандартам и техническим условиям на данные виды Товара, а также требованиям Технического задания</w:t>
      </w:r>
    </w:p>
    <w:p w:rsidR="002908B3" w:rsidRPr="002908B3" w:rsidRDefault="002908B3" w:rsidP="002908B3">
      <w:pPr>
        <w:autoSpaceDE w:val="0"/>
        <w:autoSpaceDN w:val="0"/>
        <w:adjustRightInd w:val="0"/>
        <w:ind w:firstLine="708"/>
        <w:jc w:val="both"/>
      </w:pPr>
      <w:r w:rsidRPr="002908B3">
        <w:t>Гарантийный срок Товара составляет не менее 3(Три) месяца со дня подписания Акта приема-передачи технического средства реабилитации (товара) Получателем. Установленный гарантийный срок эксплуатации Товара не распространяется на случаи нарушения Получателем условий и требований к эксплуатации.</w:t>
      </w:r>
    </w:p>
    <w:p w:rsidR="004566F9" w:rsidRDefault="002908B3" w:rsidP="002908B3">
      <w:pPr>
        <w:autoSpaceDE w:val="0"/>
        <w:autoSpaceDN w:val="0"/>
        <w:adjustRightInd w:val="0"/>
        <w:ind w:firstLine="708"/>
        <w:jc w:val="both"/>
      </w:pPr>
      <w:r w:rsidRPr="002908B3">
        <w:t xml:space="preserve">Соответствие ГОСТа: ГОСТ ISO 10993-1-2021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2908B3">
        <w:t>цитотоксичность</w:t>
      </w:r>
      <w:proofErr w:type="spellEnd"/>
      <w:r w:rsidRPr="002908B3">
        <w:t xml:space="preserve">: методы </w:t>
      </w:r>
      <w:proofErr w:type="spellStart"/>
      <w:r w:rsidRPr="002908B3">
        <w:t>in</w:t>
      </w:r>
      <w:proofErr w:type="spellEnd"/>
      <w:r w:rsidRPr="002908B3">
        <w:t xml:space="preserve"> </w:t>
      </w:r>
      <w:proofErr w:type="spellStart"/>
      <w:r w:rsidRPr="002908B3">
        <w:t>vitro</w:t>
      </w:r>
      <w:proofErr w:type="spellEnd"/>
      <w:r w:rsidRPr="002908B3">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w:t>
      </w:r>
    </w:p>
    <w:sectPr w:rsidR="004566F9" w:rsidSect="00AA479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2E" w:rsidRDefault="006F3B2E" w:rsidP="00D7115C">
      <w:r>
        <w:separator/>
      </w:r>
    </w:p>
  </w:endnote>
  <w:endnote w:type="continuationSeparator" w:id="0">
    <w:p w:rsidR="006F3B2E" w:rsidRDefault="006F3B2E"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2E" w:rsidRDefault="006F3B2E" w:rsidP="00D7115C">
      <w:r>
        <w:separator/>
      </w:r>
    </w:p>
  </w:footnote>
  <w:footnote w:type="continuationSeparator" w:id="0">
    <w:p w:rsidR="006F3B2E" w:rsidRDefault="006F3B2E" w:rsidP="00D7115C">
      <w:r>
        <w:continuationSeparator/>
      </w:r>
    </w:p>
  </w:footnote>
  <w:footnote w:id="1">
    <w:p w:rsidR="00363927" w:rsidRDefault="00363927" w:rsidP="00363927">
      <w:pPr>
        <w:pStyle w:val="a3"/>
      </w:pPr>
      <w:r>
        <w:rPr>
          <w:vertAlign w:val="superscript"/>
        </w:rPr>
        <w:t>2</w:t>
      </w:r>
      <w:r>
        <w:t xml:space="preserve"> Вносить изменения в наименования показателей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D3DE0"/>
    <w:rsid w:val="00126DEB"/>
    <w:rsid w:val="001370D2"/>
    <w:rsid w:val="00137CB5"/>
    <w:rsid w:val="00144EEC"/>
    <w:rsid w:val="001738F9"/>
    <w:rsid w:val="001A1B23"/>
    <w:rsid w:val="001B6A14"/>
    <w:rsid w:val="001E58E9"/>
    <w:rsid w:val="001E621C"/>
    <w:rsid w:val="00217727"/>
    <w:rsid w:val="00235DA7"/>
    <w:rsid w:val="00240B28"/>
    <w:rsid w:val="002831DA"/>
    <w:rsid w:val="002908B3"/>
    <w:rsid w:val="002B471D"/>
    <w:rsid w:val="002C1B5B"/>
    <w:rsid w:val="00304966"/>
    <w:rsid w:val="00310864"/>
    <w:rsid w:val="00316C52"/>
    <w:rsid w:val="003210F2"/>
    <w:rsid w:val="00363927"/>
    <w:rsid w:val="00386012"/>
    <w:rsid w:val="003B2511"/>
    <w:rsid w:val="003D486E"/>
    <w:rsid w:val="00423BFC"/>
    <w:rsid w:val="00427C62"/>
    <w:rsid w:val="00450CFE"/>
    <w:rsid w:val="004528B9"/>
    <w:rsid w:val="004566F9"/>
    <w:rsid w:val="00457089"/>
    <w:rsid w:val="0046492C"/>
    <w:rsid w:val="004667AA"/>
    <w:rsid w:val="00466F6A"/>
    <w:rsid w:val="00467E3B"/>
    <w:rsid w:val="004D26DF"/>
    <w:rsid w:val="004D497F"/>
    <w:rsid w:val="004F2140"/>
    <w:rsid w:val="00523837"/>
    <w:rsid w:val="00585EDA"/>
    <w:rsid w:val="00592CAF"/>
    <w:rsid w:val="005935A0"/>
    <w:rsid w:val="005D4418"/>
    <w:rsid w:val="005E0778"/>
    <w:rsid w:val="005F6042"/>
    <w:rsid w:val="006132F7"/>
    <w:rsid w:val="00632245"/>
    <w:rsid w:val="00655312"/>
    <w:rsid w:val="006E787B"/>
    <w:rsid w:val="006F3B2E"/>
    <w:rsid w:val="006F61BD"/>
    <w:rsid w:val="00706EF7"/>
    <w:rsid w:val="007214BD"/>
    <w:rsid w:val="007A5900"/>
    <w:rsid w:val="007C105E"/>
    <w:rsid w:val="007F2A0B"/>
    <w:rsid w:val="0082620C"/>
    <w:rsid w:val="0084505E"/>
    <w:rsid w:val="008475AC"/>
    <w:rsid w:val="00852E8C"/>
    <w:rsid w:val="00864824"/>
    <w:rsid w:val="00890985"/>
    <w:rsid w:val="00892C6A"/>
    <w:rsid w:val="008A00DE"/>
    <w:rsid w:val="008A35F0"/>
    <w:rsid w:val="008D6C4A"/>
    <w:rsid w:val="008E43BF"/>
    <w:rsid w:val="008F2AD3"/>
    <w:rsid w:val="009226AD"/>
    <w:rsid w:val="009A4C9B"/>
    <w:rsid w:val="009B3E5B"/>
    <w:rsid w:val="009B48C4"/>
    <w:rsid w:val="009B63B2"/>
    <w:rsid w:val="00A33FAD"/>
    <w:rsid w:val="00A520C7"/>
    <w:rsid w:val="00A94ADA"/>
    <w:rsid w:val="00AA4796"/>
    <w:rsid w:val="00AC04AF"/>
    <w:rsid w:val="00AF1D6E"/>
    <w:rsid w:val="00B14F09"/>
    <w:rsid w:val="00B201AE"/>
    <w:rsid w:val="00B45B9E"/>
    <w:rsid w:val="00B82A3E"/>
    <w:rsid w:val="00BA2658"/>
    <w:rsid w:val="00BB7977"/>
    <w:rsid w:val="00BC42EC"/>
    <w:rsid w:val="00BD6C75"/>
    <w:rsid w:val="00C0005A"/>
    <w:rsid w:val="00C1613C"/>
    <w:rsid w:val="00C34D1D"/>
    <w:rsid w:val="00C508C6"/>
    <w:rsid w:val="00C87CBF"/>
    <w:rsid w:val="00CA2207"/>
    <w:rsid w:val="00CA3011"/>
    <w:rsid w:val="00CB0C96"/>
    <w:rsid w:val="00CB473D"/>
    <w:rsid w:val="00CB6216"/>
    <w:rsid w:val="00CE7DFC"/>
    <w:rsid w:val="00CF08BB"/>
    <w:rsid w:val="00CF42D3"/>
    <w:rsid w:val="00D01082"/>
    <w:rsid w:val="00D23661"/>
    <w:rsid w:val="00D7115C"/>
    <w:rsid w:val="00D8164D"/>
    <w:rsid w:val="00D84C03"/>
    <w:rsid w:val="00D865A8"/>
    <w:rsid w:val="00DC4D5C"/>
    <w:rsid w:val="00E04E09"/>
    <w:rsid w:val="00E21973"/>
    <w:rsid w:val="00E3009F"/>
    <w:rsid w:val="00E35808"/>
    <w:rsid w:val="00E95858"/>
    <w:rsid w:val="00ED0360"/>
    <w:rsid w:val="00ED4626"/>
    <w:rsid w:val="00EE544A"/>
    <w:rsid w:val="00EF45D9"/>
    <w:rsid w:val="00F15338"/>
    <w:rsid w:val="00F226A3"/>
    <w:rsid w:val="00F34F37"/>
    <w:rsid w:val="00F7376C"/>
    <w:rsid w:val="00F77189"/>
    <w:rsid w:val="00F77D25"/>
    <w:rsid w:val="00F91CB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77</cp:revision>
  <dcterms:created xsi:type="dcterms:W3CDTF">2020-08-12T05:43:00Z</dcterms:created>
  <dcterms:modified xsi:type="dcterms:W3CDTF">2022-11-30T11:21:00Z</dcterms:modified>
</cp:coreProperties>
</file>