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</w:pPr>
      <w:bookmarkStart w:id="0" w:name="_GoBack"/>
      <w:bookmarkEnd w:id="0"/>
      <w:r>
        <w:t>Приложение № 1 к извещению</w:t>
      </w:r>
    </w:p>
    <w:p>
      <w:pPr>
        <w:jc w:val="right"/>
      </w:pPr>
      <w:r>
        <w:t>о проведении закупки</w:t>
      </w:r>
    </w:p>
    <w:p>
      <w:pPr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>
      <w:pPr>
        <w:jc w:val="center"/>
        <w:rPr>
          <w:b/>
          <w:szCs w:val="26"/>
        </w:rPr>
      </w:pPr>
      <w:r>
        <w:rPr>
          <w:b/>
          <w:szCs w:val="26"/>
        </w:rPr>
        <w:t xml:space="preserve">на выполнение работ по изготовлению </w:t>
      </w:r>
      <w:proofErr w:type="spellStart"/>
      <w:r>
        <w:rPr>
          <w:b/>
          <w:szCs w:val="26"/>
        </w:rPr>
        <w:t>экзопротезов</w:t>
      </w:r>
      <w:proofErr w:type="spellEnd"/>
      <w:r>
        <w:rPr>
          <w:b/>
          <w:szCs w:val="26"/>
        </w:rPr>
        <w:t xml:space="preserve"> молочной железы и бюстгальтеров для фиксации </w:t>
      </w:r>
      <w:proofErr w:type="spellStart"/>
      <w:r>
        <w:rPr>
          <w:b/>
          <w:szCs w:val="26"/>
        </w:rPr>
        <w:t>экзопротезов</w:t>
      </w:r>
      <w:proofErr w:type="spellEnd"/>
      <w:r>
        <w:rPr>
          <w:b/>
          <w:szCs w:val="26"/>
        </w:rPr>
        <w:t xml:space="preserve"> молочной железы </w:t>
      </w:r>
      <w:r>
        <w:rPr>
          <w:b/>
        </w:rPr>
        <w:t>для социального обеспечения граждан</w:t>
      </w:r>
      <w:r>
        <w:rPr>
          <w:b/>
          <w:szCs w:val="26"/>
        </w:rPr>
        <w:t xml:space="preserve"> в 2024 году</w:t>
      </w:r>
    </w:p>
    <w:p>
      <w:pPr>
        <w:jc w:val="center"/>
        <w:rPr>
          <w:b/>
          <w:szCs w:val="26"/>
        </w:rPr>
      </w:pPr>
    </w:p>
    <w:p>
      <w:pPr>
        <w:ind w:right="-24"/>
        <w:jc w:val="both"/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 до 30.09.2024 включительно. </w:t>
      </w:r>
    </w:p>
    <w:p>
      <w:pPr>
        <w:spacing w:before="120"/>
        <w:ind w:right="-23"/>
        <w:jc w:val="both"/>
      </w:pPr>
      <w:r>
        <w:rPr>
          <w:b/>
        </w:rPr>
        <w:t>Место выполнения работ:</w:t>
      </w:r>
      <w:r>
        <w:t xml:space="preserve"> Российская Федерация.</w:t>
      </w:r>
    </w:p>
    <w:p>
      <w:pPr>
        <w:spacing w:before="120"/>
        <w:ind w:right="-23"/>
        <w:jc w:val="both"/>
      </w:pPr>
      <w:r>
        <w:rPr>
          <w:b/>
        </w:rPr>
        <w:t xml:space="preserve">Место жительства (место пребывания, фактического проживания) Получателей: </w:t>
      </w:r>
      <w:r>
        <w:t>Санкт-Петербург и Ленинградская область.</w:t>
      </w:r>
    </w:p>
    <w:p>
      <w:pPr>
        <w:ind w:right="-24"/>
        <w:jc w:val="both"/>
        <w:rPr>
          <w:lang w:eastAsia="en-US"/>
        </w:rPr>
      </w:pPr>
    </w:p>
    <w:p>
      <w:pPr>
        <w:jc w:val="both"/>
      </w:pPr>
      <w:r>
        <w:rPr>
          <w:lang w:eastAsia="en-US"/>
        </w:rPr>
        <w:t>1.</w:t>
      </w:r>
      <w:r>
        <w:t>Исполнитель обязан обеспечить выполнение работ по наименованию, в количестве и в сроки, предъявляемыми в настоящем техническом задании, в период действия государственного контракта.</w:t>
      </w:r>
    </w:p>
    <w:p>
      <w:pPr>
        <w:ind w:right="-24"/>
        <w:jc w:val="both"/>
      </w:pPr>
      <w:r>
        <w:rPr>
          <w:lang w:eastAsia="en-US"/>
        </w:rPr>
        <w:t xml:space="preserve">2. </w:t>
      </w:r>
      <w:r>
        <w:t xml:space="preserve">Исполнитель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Изделие подлежит регистрации), и (или) декларации о соответствии или сертификата соответствия изготовленного Изделия либо иных документов, свидетельствующих о качестве и безопасности Изделия, предусмотренных действующим законодательством Российской Федерации.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новых.  </w:t>
      </w:r>
    </w:p>
    <w:p>
      <w:pPr>
        <w:ind w:right="-24"/>
        <w:jc w:val="both"/>
        <w:rPr>
          <w:lang w:eastAsia="en-US"/>
        </w:rPr>
      </w:pPr>
    </w:p>
    <w:p>
      <w:pPr>
        <w:ind w:right="-24"/>
        <w:jc w:val="both"/>
        <w:rPr>
          <w:lang w:eastAsia="en-US"/>
        </w:rPr>
      </w:pPr>
      <w:r>
        <w:rPr>
          <w:lang w:eastAsia="en-US"/>
        </w:rPr>
        <w:t>3. Изделия должны отвечать следующим требованиям:</w:t>
      </w:r>
    </w:p>
    <w:p>
      <w:pPr>
        <w:ind w:right="-24"/>
        <w:jc w:val="both"/>
        <w:rPr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1843"/>
        <w:gridCol w:w="4111"/>
        <w:gridCol w:w="1417"/>
      </w:tblGrid>
      <w:tr>
        <w:tc>
          <w:tcPr>
            <w:tcW w:w="59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Изделия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Изделия по КТРУ</w:t>
            </w:r>
          </w:p>
          <w:p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Изделия</w:t>
            </w:r>
          </w:p>
        </w:tc>
        <w:tc>
          <w:tcPr>
            <w:tcW w:w="141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Изделий (шт.)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9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Экзопротез</w:t>
            </w:r>
            <w:proofErr w:type="spellEnd"/>
            <w:r>
              <w:rPr>
                <w:sz w:val="22"/>
                <w:szCs w:val="22"/>
              </w:rPr>
              <w:t xml:space="preserve"> молочной железы 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widowControl w:val="0"/>
              <w:suppressAutoHyphens/>
              <w:spacing w:line="192" w:lineRule="auto"/>
              <w:jc w:val="both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Экзопротез</w:t>
            </w:r>
            <w:proofErr w:type="spellEnd"/>
            <w:r>
              <w:rPr>
                <w:color w:val="000000"/>
                <w:szCs w:val="20"/>
              </w:rPr>
              <w:t xml:space="preserve"> молочной железы</w:t>
            </w:r>
          </w:p>
        </w:tc>
        <w:tc>
          <w:tcPr>
            <w:tcW w:w="4111" w:type="dxa"/>
          </w:tcPr>
          <w:p>
            <w:pPr>
              <w:widowControl w:val="0"/>
              <w:suppressAutoHyphens/>
              <w:spacing w:line="192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Cs w:val="20"/>
              </w:rPr>
              <w:t>Экзопротез</w:t>
            </w:r>
            <w:proofErr w:type="spellEnd"/>
            <w:r>
              <w:rPr>
                <w:color w:val="000000"/>
                <w:szCs w:val="20"/>
              </w:rPr>
              <w:t xml:space="preserve"> молочной железы должен максимально естественно и незаметно для окружающих восстановить прежнюю форму, размер, объем и внешний вид. Размерный ряд </w:t>
            </w:r>
            <w:proofErr w:type="spellStart"/>
            <w:r>
              <w:rPr>
                <w:color w:val="000000"/>
                <w:szCs w:val="20"/>
              </w:rPr>
              <w:t>экзопротезов</w:t>
            </w:r>
            <w:proofErr w:type="spellEnd"/>
            <w:r>
              <w:rPr>
                <w:color w:val="000000"/>
                <w:szCs w:val="20"/>
              </w:rPr>
              <w:t xml:space="preserve"> молочной железы должен быть от 0 до 12. </w:t>
            </w:r>
            <w:proofErr w:type="spellStart"/>
            <w:r>
              <w:rPr>
                <w:color w:val="000000"/>
                <w:szCs w:val="20"/>
              </w:rPr>
              <w:t>Экзопротез</w:t>
            </w:r>
            <w:proofErr w:type="spellEnd"/>
            <w:r>
              <w:rPr>
                <w:color w:val="000000"/>
                <w:szCs w:val="20"/>
              </w:rPr>
              <w:t xml:space="preserve"> молочной железы должен быть изготовлен из оболочки (из пленки полиуретановой), заполненной силиконовым гелем. Вид, форма и размер </w:t>
            </w:r>
            <w:proofErr w:type="spellStart"/>
            <w:r>
              <w:rPr>
                <w:color w:val="000000"/>
                <w:szCs w:val="20"/>
              </w:rPr>
              <w:t>экзопротеза</w:t>
            </w:r>
            <w:proofErr w:type="spellEnd"/>
            <w:r>
              <w:rPr>
                <w:color w:val="000000"/>
                <w:szCs w:val="20"/>
              </w:rPr>
              <w:t xml:space="preserve"> молочной железы должны определяться индивидуально по каждому случаю в отдельности, с учетом анатомических особенностей получателя. В комплект </w:t>
            </w:r>
            <w:proofErr w:type="spellStart"/>
            <w:r>
              <w:rPr>
                <w:color w:val="000000"/>
                <w:szCs w:val="20"/>
              </w:rPr>
              <w:t>экзопротеза</w:t>
            </w:r>
            <w:proofErr w:type="spellEnd"/>
            <w:r>
              <w:rPr>
                <w:color w:val="000000"/>
                <w:szCs w:val="20"/>
              </w:rPr>
              <w:t xml:space="preserve"> молочной железы должен входить чехол для </w:t>
            </w:r>
            <w:proofErr w:type="spellStart"/>
            <w:r>
              <w:rPr>
                <w:color w:val="000000"/>
                <w:szCs w:val="20"/>
              </w:rPr>
              <w:t>экзопротеза</w:t>
            </w:r>
            <w:proofErr w:type="spellEnd"/>
            <w:r>
              <w:rPr>
                <w:color w:val="000000"/>
                <w:szCs w:val="20"/>
              </w:rPr>
              <w:t xml:space="preserve"> молочной железы трикотажный – 2 шт.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>
        <w:tc>
          <w:tcPr>
            <w:tcW w:w="59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Бюстгальтер (лиф-крепление) и/или грация (</w:t>
            </w:r>
            <w:proofErr w:type="spellStart"/>
            <w:r>
              <w:rPr>
                <w:sz w:val="22"/>
                <w:szCs w:val="20"/>
              </w:rPr>
              <w:t>полуграция</w:t>
            </w:r>
            <w:proofErr w:type="spellEnd"/>
            <w:r>
              <w:rPr>
                <w:sz w:val="22"/>
                <w:szCs w:val="20"/>
              </w:rPr>
              <w:t xml:space="preserve">) для фиксации </w:t>
            </w:r>
            <w:proofErr w:type="spellStart"/>
            <w:r>
              <w:rPr>
                <w:sz w:val="22"/>
                <w:szCs w:val="20"/>
              </w:rPr>
              <w:t>экзопротеза</w:t>
            </w:r>
            <w:proofErr w:type="spellEnd"/>
            <w:r>
              <w:rPr>
                <w:sz w:val="22"/>
                <w:szCs w:val="20"/>
              </w:rPr>
              <w:t xml:space="preserve"> молочной железы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Cs w:val="22"/>
                <w:lang w:eastAsia="en-US"/>
              </w:rPr>
              <w:t xml:space="preserve">Предназначен для </w:t>
            </w:r>
            <w:r>
              <w:rPr>
                <w:szCs w:val="22"/>
              </w:rPr>
              <w:t xml:space="preserve">фиксации </w:t>
            </w:r>
            <w:proofErr w:type="spellStart"/>
            <w:r>
              <w:rPr>
                <w:szCs w:val="22"/>
              </w:rPr>
              <w:t>экзопротезов</w:t>
            </w:r>
            <w:proofErr w:type="spellEnd"/>
            <w:r>
              <w:rPr>
                <w:szCs w:val="22"/>
              </w:rPr>
              <w:t xml:space="preserve"> молочной железы женщинам с последствиями радикальной </w:t>
            </w:r>
            <w:proofErr w:type="spellStart"/>
            <w:r>
              <w:rPr>
                <w:szCs w:val="22"/>
              </w:rPr>
              <w:t>мастэктомии</w:t>
            </w:r>
            <w:proofErr w:type="spellEnd"/>
            <w:r>
              <w:rPr>
                <w:szCs w:val="22"/>
              </w:rPr>
              <w:t xml:space="preserve"> (п</w:t>
            </w:r>
            <w:r>
              <w:rPr>
                <w:szCs w:val="22"/>
                <w:lang w:eastAsia="en-US"/>
              </w:rPr>
              <w:t xml:space="preserve">олной или частичной). </w:t>
            </w:r>
            <w:r>
              <w:rPr>
                <w:rFonts w:eastAsia="Arial Unicode MS"/>
                <w:szCs w:val="22"/>
              </w:rPr>
              <w:t xml:space="preserve">Наличие клапана для фиксации </w:t>
            </w:r>
            <w:proofErr w:type="spellStart"/>
            <w:r>
              <w:rPr>
                <w:rFonts w:eastAsia="Arial Unicode MS"/>
                <w:szCs w:val="22"/>
              </w:rPr>
              <w:t>экзопротеза</w:t>
            </w:r>
            <w:proofErr w:type="spellEnd"/>
            <w:r>
              <w:rPr>
                <w:rFonts w:eastAsia="Arial Unicode MS"/>
                <w:szCs w:val="22"/>
              </w:rPr>
              <w:t xml:space="preserve"> молочной железы в бюстгальтере. Материалы </w:t>
            </w:r>
            <w:r>
              <w:rPr>
                <w:szCs w:val="22"/>
              </w:rPr>
              <w:t xml:space="preserve">бюстгальтера </w:t>
            </w:r>
            <w:r>
              <w:rPr>
                <w:rFonts w:eastAsia="Arial Unicode MS"/>
                <w:szCs w:val="22"/>
              </w:rPr>
              <w:t xml:space="preserve">и клапана для фиксации </w:t>
            </w:r>
            <w:proofErr w:type="spellStart"/>
            <w:r>
              <w:rPr>
                <w:rFonts w:eastAsia="Arial Unicode MS"/>
                <w:szCs w:val="22"/>
              </w:rPr>
              <w:t>экзопротеза</w:t>
            </w:r>
            <w:proofErr w:type="spellEnd"/>
            <w:r>
              <w:rPr>
                <w:rFonts w:eastAsia="Arial Unicode MS"/>
                <w:szCs w:val="22"/>
              </w:rPr>
              <w:t xml:space="preserve"> не должны травмировать </w:t>
            </w:r>
            <w:r>
              <w:rPr>
                <w:rFonts w:eastAsia="Arial Unicode MS"/>
                <w:szCs w:val="22"/>
              </w:rPr>
              <w:lastRenderedPageBreak/>
              <w:t xml:space="preserve">кожные покровы в области </w:t>
            </w:r>
            <w:proofErr w:type="spellStart"/>
            <w:r>
              <w:rPr>
                <w:rFonts w:eastAsia="Arial Unicode MS"/>
                <w:szCs w:val="22"/>
              </w:rPr>
              <w:t>постмастэктомического</w:t>
            </w:r>
            <w:proofErr w:type="spellEnd"/>
            <w:r>
              <w:rPr>
                <w:rFonts w:eastAsia="Arial Unicode MS"/>
                <w:szCs w:val="22"/>
              </w:rPr>
              <w:t xml:space="preserve"> дефекта. </w:t>
            </w:r>
            <w:r>
              <w:rPr>
                <w:szCs w:val="22"/>
              </w:rPr>
              <w:t>Размер бюстгальтера определяется в зависимости от индивидуальных особенностей Получателя.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6 000</w:t>
            </w:r>
          </w:p>
        </w:tc>
      </w:tr>
      <w:tr>
        <w:tc>
          <w:tcPr>
            <w:tcW w:w="8393" w:type="dxa"/>
            <w:gridSpan w:val="4"/>
            <w:shd w:val="clear" w:color="auto" w:fill="auto"/>
          </w:tcPr>
          <w:p>
            <w:pPr>
              <w:widowControl w:val="0"/>
              <w:suppressAutoHyphens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</w:tbl>
    <w:p>
      <w:pPr>
        <w:ind w:right="-24"/>
        <w:jc w:val="both"/>
        <w:rPr>
          <w:bCs/>
          <w:lang w:eastAsia="en-US"/>
        </w:rPr>
      </w:pPr>
    </w:p>
    <w:p>
      <w:pPr>
        <w:pStyle w:val="a4"/>
        <w:ind w:lef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Обоснование включения дополнительной информации в сведения о товаре, работе, услуге: </w:t>
      </w:r>
    </w:p>
    <w:p>
      <w:pPr>
        <w:pStyle w:val="a4"/>
        <w:ind w:lef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 Р 54408-2021 «Одежда специальная для инвалидов. Общие технические условия.</w:t>
      </w:r>
    </w:p>
    <w:p>
      <w:pPr>
        <w:pStyle w:val="a4"/>
        <w:ind w:lef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рекомендации».</w:t>
      </w:r>
    </w:p>
    <w:p>
      <w:pPr>
        <w:pStyle w:val="a4"/>
        <w:ind w:lef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подбора, разработанные и утвержденные Минтрудом России в 2018 году (издание третье)</w:t>
      </w:r>
    </w:p>
    <w:p>
      <w:pPr>
        <w:pStyle w:val="a4"/>
        <w:ind w:left="45"/>
        <w:jc w:val="both"/>
        <w:rPr>
          <w:rFonts w:ascii="Times New Roman" w:hAnsi="Times New Roman" w:cs="Times New Roman"/>
          <w:color w:val="2D2D2D"/>
          <w:spacing w:val="2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3.1.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  <w:r>
        <w:rPr>
          <w:rFonts w:ascii="Times New Roman" w:hAnsi="Times New Roman" w:cs="Times New Roman"/>
          <w:color w:val="2D2D2D"/>
          <w:spacing w:val="2"/>
          <w:sz w:val="24"/>
          <w:shd w:val="clear" w:color="auto" w:fill="FFFFFF"/>
        </w:rPr>
        <w:t xml:space="preserve"> </w:t>
      </w:r>
    </w:p>
    <w:p>
      <w:pPr>
        <w:pStyle w:val="a4"/>
        <w:ind w:left="4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lang w:eastAsia="ar-SA"/>
        </w:rPr>
        <w:t>3.2. Изделия (элементы Изделий) должны соответствовать требованиям государственных стандартов (ГОСТ), действующих на территории Российской Федерации:</w:t>
      </w:r>
      <w:r>
        <w:rPr>
          <w:rFonts w:ascii="Times New Roman" w:hAnsi="Times New Roman" w:cs="Times New Roman"/>
          <w:szCs w:val="20"/>
        </w:rPr>
        <w:t xml:space="preserve"> </w:t>
      </w:r>
    </w:p>
    <w:p>
      <w:pPr>
        <w:numPr>
          <w:ilvl w:val="0"/>
          <w:numId w:val="4"/>
        </w:numPr>
        <w:spacing w:after="3" w:line="238" w:lineRule="auto"/>
        <w:ind w:left="0" w:right="11"/>
        <w:jc w:val="both"/>
        <w:rPr>
          <w:color w:val="000000"/>
          <w:szCs w:val="22"/>
        </w:rPr>
      </w:pPr>
      <w:r>
        <w:rPr>
          <w:color w:val="2D2D2D"/>
          <w:szCs w:val="22"/>
        </w:rPr>
        <w:t xml:space="preserve">ГОСТ Р 52770-2016. Изделия медицинские. Требования безопасности. Методы </w:t>
      </w:r>
      <w:proofErr w:type="spellStart"/>
      <w:r>
        <w:rPr>
          <w:color w:val="2D2D2D"/>
          <w:szCs w:val="22"/>
        </w:rPr>
        <w:t>санитарнохимических</w:t>
      </w:r>
      <w:proofErr w:type="spellEnd"/>
      <w:r>
        <w:rPr>
          <w:color w:val="2D2D2D"/>
          <w:szCs w:val="22"/>
        </w:rPr>
        <w:t xml:space="preserve"> и токсикологических испытаний;</w:t>
      </w:r>
    </w:p>
    <w:p>
      <w:pPr>
        <w:numPr>
          <w:ilvl w:val="0"/>
          <w:numId w:val="4"/>
        </w:numPr>
        <w:spacing w:after="3" w:line="249" w:lineRule="auto"/>
        <w:ind w:right="11"/>
        <w:jc w:val="both"/>
        <w:rPr>
          <w:color w:val="000000"/>
          <w:szCs w:val="22"/>
        </w:rPr>
      </w:pPr>
      <w:r>
        <w:rPr>
          <w:color w:val="000000"/>
          <w:szCs w:val="22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>
      <w:pPr>
        <w:numPr>
          <w:ilvl w:val="0"/>
          <w:numId w:val="4"/>
        </w:numPr>
        <w:spacing w:after="3" w:line="238" w:lineRule="auto"/>
        <w:ind w:left="0" w:right="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-36830</wp:posOffset>
                </wp:positionV>
                <wp:extent cx="38100" cy="525780"/>
                <wp:effectExtent l="0" t="0" r="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525780"/>
                          <a:chOff x="0" y="0"/>
                          <a:chExt cx="38100" cy="525742"/>
                        </a:xfrm>
                      </wpg:grpSpPr>
                      <wps:wsp>
                        <wps:cNvPr id="3" name="Shape 37210"/>
                        <wps:cNvSpPr/>
                        <wps:spPr>
                          <a:xfrm>
                            <a:off x="0" y="0"/>
                            <a:ext cx="3810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524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5247"/>
                                </a:lnTo>
                                <a:lnTo>
                                  <a:pt x="0" y="1752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4F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37211"/>
                        <wps:cNvSpPr/>
                        <wps:spPr>
                          <a:xfrm>
                            <a:off x="2743" y="350495"/>
                            <a:ext cx="3175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75247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75247"/>
                                </a:lnTo>
                                <a:lnTo>
                                  <a:pt x="0" y="1752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4F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ADA6B" id="Группа 2" o:spid="_x0000_s1026" style="position:absolute;margin-left:165.75pt;margin-top:-2.9pt;width:3pt;height:41.4pt;z-index:-251657216" coordsize="3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">
                <v:shape id="Shape 37210" o:spid="_x0000_s1027" style="position:absolute;width:381;height:1752;visibility:visible;mso-wrap-style:square;v-text-anchor:top" coordsize="3810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l68MA&#10;AADaAAAADwAAAGRycy9kb3ducmV2LnhtbESP0WrCQBRE3wX/YbkF38xGLVaiq1jRNtAnk37AJXtN&#10;QrN30+yapH/fLQh9HGbmDLM7jKYRPXWutqxgEcUgiAuray4VfOaX+QaE88gaG8uk4IccHPbTyQ4T&#10;bQe+Up/5UgQIuwQVVN63iZSuqMigi2xLHLyb7Qz6ILtS6g6HADeNXMbxWhqsOSxU2NKpouIruxsF&#10;z8M1Rf2SfrwvvjdFfnbL8tW/KTV7Go9bEJ5G/x9+tFOtYAV/V8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tl68MAAADaAAAADwAAAAAAAAAAAAAAAACYAgAAZHJzL2Rv&#10;d25yZXYueG1sUEsFBgAAAAAEAAQA9QAAAIgDAAAAAA==&#10;" path="m,l38100,r,175247l,175247,,e" fillcolor="#f2f4f6" stroked="f" strokeweight="0">
                  <v:stroke miterlimit="83231f" joinstyle="miter"/>
                  <v:path arrowok="t" textboxrect="0,0,38100,175247"/>
                </v:shape>
                <v:shape id="Shape 37211" o:spid="_x0000_s1028" style="position:absolute;left:27;top:3504;width:317;height:1753;visibility:visible;mso-wrap-style:square;v-text-anchor:top" coordsize="3175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bwMMA&#10;AADaAAAADwAAAGRycy9kb3ducmV2LnhtbESP0WrCQBRE34X+w3ILfTMbSyklZiMiFUKLLU39gEv2&#10;mkSzd9PsJsa/7wqCj8PMnGHS1WRaMVLvGssKFlEMgri0uuFKwf53O38D4TyyxtYyKbiQg1X2MEsx&#10;0fbMPzQWvhIBwi5BBbX3XSKlK2sy6CLbEQfvYHuDPsi+krrHc4CbVj7H8as02HBYqLGjTU3lqRiM&#10;gnxX5Mfhc/uOH+vLd1Ww/vs67ZR6epzWSxCeJn8P39q5VvAC1yvh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bwMMAAADaAAAADwAAAAAAAAAAAAAAAACYAgAAZHJzL2Rv&#10;d25yZXYueG1sUEsFBgAAAAAEAAQA9QAAAIgDAAAAAA==&#10;" path="m,l31750,r,175247l,175247,,e" fillcolor="#f2f4f6" stroked="f" strokeweight="0">
                  <v:stroke miterlimit="83231f" joinstyle="miter"/>
                  <v:path arrowok="t" textboxrect="0,0,31750,175247"/>
                </v:shape>
              </v:group>
            </w:pict>
          </mc:Fallback>
        </mc:AlternateContent>
      </w:r>
      <w:r>
        <w:rPr>
          <w:color w:val="0E141A"/>
          <w:szCs w:val="22"/>
        </w:rPr>
        <w:t>ГОСТ</w:t>
      </w:r>
      <w:r>
        <w:rPr>
          <w:lang w:eastAsia="en-US"/>
        </w:rPr>
        <w:t xml:space="preserve"> ISO 10993-1-2021 </w:t>
      </w:r>
      <w:r>
        <w:rPr>
          <w:color w:val="2D2D2D"/>
          <w:szCs w:val="22"/>
        </w:rPr>
        <w:t xml:space="preserve">«Изделия медицинские. Оценка биологического действия </w:t>
      </w:r>
      <w:r>
        <w:t>медицинских изделий. Часть 1. Оценка и исследования»;</w:t>
      </w:r>
    </w:p>
    <w:p>
      <w:pPr>
        <w:numPr>
          <w:ilvl w:val="0"/>
          <w:numId w:val="4"/>
        </w:numPr>
        <w:spacing w:after="3" w:line="238" w:lineRule="auto"/>
        <w:ind w:left="0" w:right="11"/>
        <w:jc w:val="both"/>
      </w:pPr>
      <w:r>
        <w:rPr>
          <w:lang w:eastAsia="en-US"/>
        </w:rPr>
        <w:t xml:space="preserve">ГОСТ ISO 10993-5-2011 </w:t>
      </w:r>
      <w:r>
        <w:t xml:space="preserve">«Изделия медицинские. Оценка биологического действия медицинских изделий. Часть 5. Исследование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»;</w:t>
      </w:r>
    </w:p>
    <w:p>
      <w:pPr>
        <w:numPr>
          <w:ilvl w:val="0"/>
          <w:numId w:val="4"/>
        </w:numPr>
        <w:spacing w:after="3" w:line="238" w:lineRule="auto"/>
        <w:ind w:left="0" w:right="11"/>
        <w:jc w:val="both"/>
      </w:pPr>
      <w:r>
        <w:rPr>
          <w:lang w:eastAsia="en-US"/>
        </w:rPr>
        <w:t>ГОСТ Р 54408-2021 «Одежда</w:t>
      </w:r>
      <w:r>
        <w:t xml:space="preserve"> специальная для инвалидов. Общие технические условия»;</w:t>
      </w:r>
    </w:p>
    <w:p>
      <w:pPr>
        <w:jc w:val="both"/>
      </w:pPr>
      <w:r>
        <w:t xml:space="preserve">-    </w:t>
      </w:r>
      <w:r>
        <w:rPr>
          <w:lang w:eastAsia="en-US"/>
        </w:rPr>
        <w:t xml:space="preserve">ГОСТ ISO 10993-10-2011 </w:t>
      </w:r>
      <w:r>
        <w:t>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>
      <w:pPr>
        <w:ind w:right="-24"/>
        <w:jc w:val="both"/>
        <w:rPr>
          <w:color w:val="2D2D2D"/>
          <w:szCs w:val="22"/>
        </w:rPr>
      </w:pPr>
      <w:r>
        <w:rPr>
          <w:bCs/>
          <w:lang w:eastAsia="en-US"/>
        </w:rPr>
        <w:t>3.3.</w:t>
      </w:r>
      <w:r>
        <w:t xml:space="preserve">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 Изделия должны быть свободными от прав третьих лиц.</w:t>
      </w:r>
    </w:p>
    <w:p>
      <w:pPr>
        <w:autoSpaceDE w:val="0"/>
        <w:jc w:val="both"/>
      </w:pPr>
      <w:r>
        <w:rPr>
          <w:bCs/>
          <w:lang w:eastAsia="en-US"/>
        </w:rPr>
        <w:t xml:space="preserve">3.4. </w:t>
      </w:r>
      <w:r>
        <w:t>Упаковка Изделия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>
      <w:pPr>
        <w:spacing w:after="3" w:line="249" w:lineRule="auto"/>
        <w:ind w:right="9"/>
        <w:jc w:val="both"/>
        <w:rPr>
          <w:color w:val="000000"/>
          <w:szCs w:val="22"/>
        </w:rPr>
      </w:pPr>
      <w:r>
        <w:rPr>
          <w:lang w:eastAsia="en-US"/>
        </w:rPr>
        <w:t xml:space="preserve">3.5. </w:t>
      </w:r>
      <w:r>
        <w:rPr>
          <w:color w:val="000000"/>
          <w:szCs w:val="22"/>
        </w:rPr>
        <w:t>Гарантийный срок на Изделия составляет:</w:t>
      </w:r>
    </w:p>
    <w:p>
      <w:pPr>
        <w:spacing w:after="3" w:line="249" w:lineRule="auto"/>
        <w:ind w:right="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на </w:t>
      </w:r>
      <w:proofErr w:type="spellStart"/>
      <w:r>
        <w:rPr>
          <w:color w:val="000000"/>
          <w:szCs w:val="22"/>
        </w:rPr>
        <w:t>экзопротез</w:t>
      </w:r>
      <w:proofErr w:type="spellEnd"/>
      <w:r>
        <w:rPr>
          <w:color w:val="000000"/>
          <w:szCs w:val="22"/>
        </w:rPr>
        <w:t xml:space="preserve"> молочной железы - не менее 6 месяцев</w:t>
      </w:r>
      <w:r>
        <w:rPr>
          <w:color w:val="FFFFFF"/>
          <w:szCs w:val="22"/>
        </w:rPr>
        <w:t xml:space="preserve"> </w:t>
      </w:r>
      <w:r>
        <w:rPr>
          <w:color w:val="000000"/>
          <w:szCs w:val="22"/>
        </w:rPr>
        <w:t>со дня подписания Получателем акта приема-передачи Изделия;</w:t>
      </w:r>
    </w:p>
    <w:p>
      <w:pPr>
        <w:spacing w:after="3" w:line="249" w:lineRule="auto"/>
        <w:ind w:right="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на чехол для </w:t>
      </w:r>
      <w:proofErr w:type="spellStart"/>
      <w:r>
        <w:rPr>
          <w:color w:val="000000"/>
          <w:szCs w:val="22"/>
        </w:rPr>
        <w:t>экзопротеза</w:t>
      </w:r>
      <w:proofErr w:type="spellEnd"/>
      <w:r>
        <w:rPr>
          <w:color w:val="000000"/>
          <w:szCs w:val="22"/>
        </w:rPr>
        <w:t xml:space="preserve"> молочной железы трикотажный – не менее 3 месяцев со дня получения Получателем акта приема-передачи Изделия;</w:t>
      </w:r>
    </w:p>
    <w:p>
      <w:pPr>
        <w:spacing w:after="3" w:line="249" w:lineRule="auto"/>
        <w:ind w:left="45" w:right="9"/>
        <w:jc w:val="both"/>
        <w:rPr>
          <w:color w:val="000000"/>
          <w:szCs w:val="22"/>
        </w:rPr>
      </w:pPr>
      <w:r>
        <w:rPr>
          <w:color w:val="000000"/>
          <w:szCs w:val="22"/>
        </w:rPr>
        <w:t>- на бюстгальтер (лиф-крепление) и/или грация (</w:t>
      </w:r>
      <w:proofErr w:type="spellStart"/>
      <w:r>
        <w:rPr>
          <w:color w:val="000000"/>
          <w:szCs w:val="22"/>
        </w:rPr>
        <w:t>полуграция</w:t>
      </w:r>
      <w:proofErr w:type="spellEnd"/>
      <w:r>
        <w:rPr>
          <w:color w:val="000000"/>
          <w:szCs w:val="22"/>
        </w:rPr>
        <w:t xml:space="preserve">) для фиксации </w:t>
      </w:r>
      <w:proofErr w:type="spellStart"/>
      <w:r>
        <w:rPr>
          <w:color w:val="000000"/>
          <w:szCs w:val="22"/>
        </w:rPr>
        <w:t>экзопротеза</w:t>
      </w:r>
      <w:proofErr w:type="spellEnd"/>
      <w:r>
        <w:rPr>
          <w:color w:val="000000"/>
          <w:szCs w:val="22"/>
        </w:rPr>
        <w:t xml:space="preserve"> молочной железы - не менее 3 месяцев со дня подписания Получателем акта приема-передачи Изделия.</w:t>
      </w:r>
    </w:p>
    <w:p>
      <w:pPr>
        <w:widowControl w:val="0"/>
        <w:autoSpaceDE w:val="0"/>
        <w:autoSpaceDN w:val="0"/>
        <w:adjustRightInd w:val="0"/>
        <w:ind w:right="9"/>
        <w:jc w:val="both"/>
      </w:pPr>
      <w:r>
        <w:t>Установленный настоящим пунктом Технического задания срок не распространяется на случаи нарушения Получателем условий и требований к эксплуатации Изделий.</w:t>
      </w:r>
    </w:p>
    <w:p>
      <w:pPr>
        <w:widowControl w:val="0"/>
        <w:autoSpaceDE w:val="0"/>
        <w:autoSpaceDN w:val="0"/>
        <w:adjustRightInd w:val="0"/>
        <w:ind w:right="9"/>
        <w:jc w:val="both"/>
        <w:rPr>
          <w:bCs/>
          <w:lang w:eastAsia="en-US"/>
        </w:rPr>
      </w:pPr>
    </w:p>
    <w:p>
      <w:pPr>
        <w:ind w:right="-24"/>
        <w:jc w:val="both"/>
        <w:rPr>
          <w:bCs/>
          <w:lang w:eastAsia="en-US"/>
        </w:rPr>
      </w:pPr>
      <w:r>
        <w:rPr>
          <w:bCs/>
          <w:lang w:eastAsia="en-US"/>
        </w:rPr>
        <w:t>4. Исполнитель обязан:</w:t>
      </w:r>
    </w:p>
    <w:p>
      <w:pPr>
        <w:ind w:right="-24"/>
        <w:jc w:val="both"/>
        <w:rPr>
          <w:bCs/>
          <w:lang w:eastAsia="en-US"/>
        </w:rPr>
      </w:pPr>
      <w:r>
        <w:rPr>
          <w:bCs/>
          <w:lang w:eastAsia="en-US"/>
        </w:rPr>
        <w:t xml:space="preserve">4.1. Изготавливать Изделия для Получателей, имеющие действующие декларации о соответствии (при наличии), оформленные в соответствии с законодательством Российской Федерации. В случае, если ранее (в соответствии с нормативно-правовыми актами Российской Федерации) </w:t>
      </w:r>
      <w:r>
        <w:rPr>
          <w:bCs/>
          <w:lang w:eastAsia="en-US"/>
        </w:rPr>
        <w:lastRenderedPageBreak/>
        <w:t>Изделия подлежали обязательной сертификации, допускается изготовление Изделий, имеющих действующий сертификат соответствия.</w:t>
      </w:r>
    </w:p>
    <w:p>
      <w:pPr>
        <w:ind w:right="-24"/>
        <w:jc w:val="both"/>
        <w:rPr>
          <w:bCs/>
          <w:lang w:eastAsia="en-US"/>
        </w:rPr>
      </w:pPr>
      <w:r>
        <w:rPr>
          <w:bCs/>
          <w:lang w:eastAsia="en-US"/>
        </w:rPr>
        <w:t xml:space="preserve"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 </w:t>
      </w:r>
    </w:p>
    <w:p>
      <w:pPr>
        <w:ind w:right="-24"/>
        <w:jc w:val="both"/>
        <w:rPr>
          <w:bCs/>
          <w:lang w:eastAsia="en-US"/>
        </w:rPr>
      </w:pPr>
      <w:r>
        <w:rPr>
          <w:bCs/>
          <w:lang w:eastAsia="en-US"/>
        </w:rPr>
        <w:t>4.2.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</w:t>
      </w:r>
    </w:p>
    <w:p>
      <w:pPr>
        <w:ind w:right="-24"/>
        <w:jc w:val="both"/>
        <w:rPr>
          <w:bCs/>
          <w:lang w:eastAsia="en-US"/>
        </w:rPr>
      </w:pPr>
      <w:r>
        <w:rPr>
          <w:bCs/>
          <w:lang w:eastAsia="en-US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не допускается. </w:t>
      </w:r>
    </w:p>
    <w:p>
      <w:pPr>
        <w:ind w:right="-24"/>
        <w:jc w:val="both"/>
        <w:rPr>
          <w:bCs/>
          <w:lang w:eastAsia="en-US"/>
        </w:rPr>
      </w:pPr>
      <w:r>
        <w:rPr>
          <w:bCs/>
          <w:lang w:eastAsia="en-US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>
      <w:pPr>
        <w:ind w:right="-24"/>
        <w:jc w:val="both"/>
        <w:rPr>
          <w:bCs/>
          <w:lang w:eastAsia="en-US"/>
        </w:rPr>
      </w:pPr>
      <w:r>
        <w:rPr>
          <w:bCs/>
          <w:lang w:eastAsia="en-US"/>
        </w:rPr>
        <w:t xml:space="preserve">4.3. При работе с Получателями обеспечить соблюдение рекомендаций и санитарно-эпидемиологических требований </w:t>
      </w:r>
      <w:proofErr w:type="spellStart"/>
      <w:r>
        <w:rPr>
          <w:bCs/>
          <w:lang w:eastAsia="en-US"/>
        </w:rPr>
        <w:t>Роспотребнадзора</w:t>
      </w:r>
      <w:proofErr w:type="spellEnd"/>
      <w:r>
        <w:rPr>
          <w:bCs/>
          <w:lang w:eastAsia="en-US"/>
        </w:rPr>
        <w:t xml:space="preserve"> и исполнительных органов государственной власти Санкт-Петербурга и Ленинградской области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rPr>
          <w:bCs/>
          <w:lang w:eastAsia="en-US"/>
        </w:rPr>
        <w:t>коронавирусной</w:t>
      </w:r>
      <w:proofErr w:type="spellEnd"/>
      <w:r>
        <w:rPr>
          <w:bCs/>
          <w:lang w:eastAsia="en-US"/>
        </w:rPr>
        <w:t xml:space="preserve"> инфекции (COVID-19).</w:t>
      </w:r>
    </w:p>
    <w:p>
      <w:pPr>
        <w:ind w:right="-24"/>
        <w:jc w:val="both"/>
      </w:pPr>
      <w:r>
        <w:t>4.4.</w:t>
      </w:r>
      <w:r>
        <w:rPr>
          <w:rFonts w:ascii="Times New Roman CYR" w:hAnsi="Times New Roman CYR" w:cs="Times New Roman CYR"/>
        </w:rPr>
        <w:t xml:space="preserve"> Обеспечить возможность изготовления Изделий со дня, следующего за днем передачи Исполнителю реестра Получателей.</w:t>
      </w:r>
    </w:p>
    <w:p>
      <w:pPr>
        <w:ind w:right="-24"/>
        <w:jc w:val="both"/>
        <w:rPr>
          <w:color w:val="000000"/>
        </w:rPr>
      </w:pPr>
      <w:r>
        <w:t>4.5.</w:t>
      </w:r>
      <w:r>
        <w:rPr>
          <w:color w:val="000000"/>
        </w:rPr>
        <w:t xml:space="preserve"> Осуществлять в течение гарантийного срока за счет собственных средств гарантийный ремонт Изделий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Исполнитель должен быть обеспечен гарантийный ремонт (если Изделие подлежит гарантийному ремонту) либо осуществлена замена Изделия на аналогичное Изделие надлежащего качества.</w:t>
      </w:r>
    </w:p>
    <w:p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выполнения гарантийного ремонта Изделия не должен превышать 20 рабочих дней со дня обращения Получателя (Заказчика).</w:t>
      </w:r>
    </w:p>
    <w:p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осуществления замены Изделия не должен превышать 15 рабочих дней со дня обращения Получателя (Заказчика).</w:t>
      </w:r>
    </w:p>
    <w:p>
      <w:pPr>
        <w:autoSpaceDE w:val="0"/>
        <w:ind w:right="-24"/>
        <w:jc w:val="both"/>
        <w:rPr>
          <w:color w:val="000000"/>
        </w:rPr>
      </w:pPr>
      <w:r>
        <w:rPr>
          <w:color w:val="000000"/>
        </w:rPr>
        <w:t xml:space="preserve">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Исполнитель должен осуществить замену такого Изделия. </w:t>
      </w:r>
    </w:p>
    <w:p>
      <w:pPr>
        <w:autoSpaceDE w:val="0"/>
        <w:ind w:right="-24"/>
        <w:jc w:val="both"/>
        <w:rPr>
          <w:color w:val="000000"/>
        </w:rPr>
      </w:pPr>
      <w:r>
        <w:rPr>
          <w:color w:val="000000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>
      <w:pPr>
        <w:suppressAutoHyphens/>
        <w:ind w:right="-24"/>
        <w:jc w:val="both"/>
      </w:pPr>
      <w:r>
        <w:t>Прием Получателей по вопросам, касающимся выдачи и гарантийного ремонта Изделий, осуществляется Исполнителем по месту нахождения организованных Исполнителем пунктов приема на территории Санкт-Петербурга).</w:t>
      </w:r>
    </w:p>
    <w:p>
      <w:pPr>
        <w:jc w:val="both"/>
        <w:rPr>
          <w:rFonts w:ascii="Times New Roman CYR" w:hAnsi="Times New Roman CYR" w:cs="Times New Roman CYR"/>
        </w:rPr>
      </w:pPr>
      <w:r>
        <w:t xml:space="preserve">4.6. </w:t>
      </w:r>
      <w:r>
        <w:rPr>
          <w:rFonts w:ascii="Times New Roman CYR" w:hAnsi="Times New Roman CYR" w:cs="Times New Roman CYR"/>
        </w:rPr>
        <w:t xml:space="preserve">Давать справки Получателям по вопросам, связанным с изготовлением Изделий, </w:t>
      </w:r>
      <w:r>
        <w:t>а также осуществлять прием заявок на доставку Изделий по месту нахождения Получателя</w:t>
      </w:r>
      <w:r>
        <w:rPr>
          <w:rFonts w:ascii="Times New Roman CYR" w:hAnsi="Times New Roman CYR" w:cs="Times New Roman CYR"/>
        </w:rPr>
        <w:t xml:space="preserve"> в часы работы пункта (пунктов) приема Получателей. Для звонков Получателей должен быть выделен телефонный номер. Информацию о телефонном номере Исполнитель должен предоставить Заказчику не позднее 1 </w:t>
      </w:r>
      <w:r>
        <w:t>(одного) рабочего</w:t>
      </w:r>
      <w:r>
        <w:rPr>
          <w:rFonts w:ascii="Times New Roman CYR" w:hAnsi="Times New Roman CYR" w:cs="Times New Roman CYR"/>
        </w:rPr>
        <w:t xml:space="preserve"> дня с даты заключения государственного контракта.</w:t>
      </w:r>
    </w:p>
    <w:p>
      <w:pPr>
        <w:jc w:val="both"/>
      </w:pPr>
      <w:r>
        <w:rPr>
          <w:rFonts w:ascii="Times New Roman CYR" w:hAnsi="Times New Roman CYR" w:cs="Times New Roman CYR"/>
        </w:rPr>
        <w:t>Звонки с городских номеров Санкт-Петербурга и Ленинградской области должны быть бесплатными для Получателей, а именно: не допускается взимание дополнительной оплаты телефонных</w:t>
      </w:r>
      <w:r>
        <w:t xml:space="preserve"> переговоров Получателей в виде предоставления для звонков Получателей </w:t>
      </w:r>
      <w:r>
        <w:lastRenderedPageBreak/>
        <w:t xml:space="preserve">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 и Ленинградской области; исключается возможность взимания оплаты за звонки Исполнителем. </w:t>
      </w:r>
    </w:p>
    <w:p>
      <w:pPr>
        <w:jc w:val="both"/>
      </w:pPr>
      <w:r>
        <w:t>4.7.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Изделий.</w:t>
      </w:r>
    </w:p>
    <w:p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Изделия Получателю не позднее дня, следующего за днем доставки, согласованным с Получателем.</w:t>
      </w:r>
    </w:p>
    <w:p>
      <w:pPr>
        <w:ind w:right="-24"/>
        <w:jc w:val="both"/>
      </w:pPr>
      <w:r>
        <w:t xml:space="preserve">4.8.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proofErr w:type="gramStart"/>
        <w:r>
          <w:rPr>
            <w:rStyle w:val="a3"/>
          </w:rPr>
          <w:t>osp@ro78.fss.ru</w:t>
        </w:r>
      </w:hyperlink>
      <w:r>
        <w:t xml:space="preserve"> ,</w:t>
      </w:r>
      <w:proofErr w:type="gramEnd"/>
      <w:r>
        <w:t xml:space="preserve"> </w:t>
      </w:r>
      <w:hyperlink r:id="rId6" w:history="1">
        <w:r>
          <w:rPr>
            <w:rStyle w:val="a3"/>
          </w:rPr>
          <w:t>tsrfil31@ro78.fss.ru</w:t>
        </w:r>
      </w:hyperlink>
      <w:r>
        <w:t>.</w:t>
      </w:r>
    </w:p>
    <w:p>
      <w:pPr>
        <w:autoSpaceDE w:val="0"/>
        <w:autoSpaceDN w:val="0"/>
        <w:adjustRightInd w:val="0"/>
        <w:spacing w:line="240" w:lineRule="atLeast"/>
        <w:jc w:val="both"/>
      </w:pPr>
      <w:r>
        <w:t xml:space="preserve">4.9.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номер контактного телефона;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адрес электронной почты;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>
        <w:rPr>
          <w:lang w:eastAsia="en-US"/>
        </w:rPr>
        <w:t xml:space="preserve">срок </w:t>
      </w:r>
      <w:proofErr w:type="spellStart"/>
      <w:r>
        <w:rPr>
          <w:lang w:eastAsia="en-US"/>
        </w:rPr>
        <w:t>соисполнительства</w:t>
      </w:r>
      <w:proofErr w:type="spellEnd"/>
      <w:r>
        <w:rPr>
          <w:lang w:eastAsia="en-US"/>
        </w:rPr>
        <w:t>.</w:t>
      </w:r>
    </w:p>
    <w:p>
      <w:pPr>
        <w:autoSpaceDE w:val="0"/>
        <w:autoSpaceDN w:val="0"/>
        <w:adjustRightInd w:val="0"/>
        <w:spacing w:line="240" w:lineRule="atLeast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>
      <w:pPr>
        <w:autoSpaceDE w:val="0"/>
        <w:autoSpaceDN w:val="0"/>
        <w:adjustRightInd w:val="0"/>
        <w:spacing w:line="240" w:lineRule="atLeast"/>
        <w:jc w:val="both"/>
      </w:pPr>
      <w: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>
      <w:pPr>
        <w:autoSpaceDE w:val="0"/>
        <w:autoSpaceDN w:val="0"/>
        <w:adjustRightInd w:val="0"/>
        <w:spacing w:line="240" w:lineRule="atLeast"/>
        <w:jc w:val="both"/>
      </w:pPr>
      <w: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7" w:history="1">
        <w:r>
          <w:t>osp@ro78.fss.ru</w:t>
        </w:r>
      </w:hyperlink>
      <w:r>
        <w:t xml:space="preserve">. </w:t>
      </w:r>
    </w:p>
    <w:p>
      <w:pPr>
        <w:ind w:right="9"/>
        <w:jc w:val="both"/>
        <w:rPr>
          <w:color w:val="000000"/>
        </w:rPr>
      </w:pPr>
      <w:r>
        <w:t xml:space="preserve">5. </w:t>
      </w:r>
      <w:r>
        <w:rPr>
          <w:color w:val="000000"/>
        </w:rPr>
        <w:t>Способ выдачи Изделий:</w:t>
      </w:r>
    </w:p>
    <w:p>
      <w:pPr>
        <w:ind w:right="9"/>
        <w:jc w:val="both"/>
        <w:rPr>
          <w:color w:val="000000"/>
        </w:rPr>
      </w:pPr>
      <w:r>
        <w:rPr>
          <w:color w:val="000000"/>
        </w:rPr>
        <w:t>5.1. Предоставлять Получателям право выбора способа получения Изделий:</w:t>
      </w:r>
    </w:p>
    <w:p>
      <w:pPr>
        <w:numPr>
          <w:ilvl w:val="0"/>
          <w:numId w:val="2"/>
        </w:numPr>
        <w:ind w:left="0" w:right="9"/>
        <w:jc w:val="both"/>
        <w:rPr>
          <w:color w:val="000000"/>
        </w:rPr>
      </w:pPr>
      <w:r>
        <w:rPr>
          <w:color w:val="000000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Изделия;</w:t>
      </w:r>
    </w:p>
    <w:p>
      <w:pPr>
        <w:numPr>
          <w:ilvl w:val="0"/>
          <w:numId w:val="2"/>
        </w:numPr>
        <w:ind w:left="0" w:right="9"/>
        <w:jc w:val="both"/>
        <w:rPr>
          <w:color w:val="000000"/>
        </w:rPr>
      </w:pPr>
      <w:r>
        <w:rPr>
          <w:color w:val="000000"/>
        </w:rPr>
        <w:t>в пункте (пунктах) приема Получателей, организованных Исполнителем.</w:t>
      </w:r>
    </w:p>
    <w:p>
      <w:pPr>
        <w:ind w:right="9"/>
        <w:jc w:val="both"/>
        <w:rPr>
          <w:color w:val="000000"/>
        </w:rPr>
      </w:pPr>
      <w:r>
        <w:rPr>
          <w:color w:val="000000"/>
        </w:rPr>
        <w:t>Доставка Изделий по месту жительства (месту пребывания, фактического проживания) Получателя в том числе службой доставки (почтовым отправлением) осуществляется за счет собственных средств Исполнителя.</w:t>
      </w:r>
    </w:p>
    <w:p>
      <w:pPr>
        <w:jc w:val="both"/>
      </w:pPr>
      <w:r>
        <w:rPr>
          <w:color w:val="000000"/>
        </w:rPr>
        <w:t xml:space="preserve">5.2. </w:t>
      </w:r>
      <w:r>
        <w:rPr>
          <w:rFonts w:eastAsiaTheme="minorHAnsi"/>
          <w:color w:val="000000"/>
          <w:lang w:eastAsia="en-US"/>
        </w:rPr>
        <w:t xml:space="preserve">В целях реализации возможности получения Изделия Получателем через </w:t>
      </w:r>
      <w:r>
        <w:rPr>
          <w:color w:val="000000"/>
        </w:rPr>
        <w:t>пункты</w:t>
      </w:r>
      <w:r>
        <w:rPr>
          <w:rFonts w:eastAsiaTheme="minorHAnsi"/>
          <w:color w:val="000000"/>
          <w:lang w:eastAsia="en-US"/>
        </w:rPr>
        <w:t xml:space="preserve"> приема Получателей и недопущения длительного ожидания в очереди при получении Изделия Исполнитель должен организовать не менее </w:t>
      </w:r>
      <w:r>
        <w:rPr>
          <w:color w:val="000000"/>
        </w:rPr>
        <w:t>2 (двух) пунктов</w:t>
      </w:r>
      <w:r>
        <w:rPr>
          <w:rFonts w:eastAsiaTheme="minorHAnsi"/>
          <w:color w:val="000000"/>
          <w:lang w:eastAsia="en-US"/>
        </w:rPr>
        <w:t xml:space="preserve"> приема Получателей в срок не позднее 1 (одного)</w:t>
      </w:r>
      <w:r>
        <w:rPr>
          <w:color w:val="000000"/>
        </w:rPr>
        <w:t xml:space="preserve"> рабочего</w:t>
      </w:r>
      <w:r>
        <w:rPr>
          <w:rFonts w:eastAsiaTheme="minorHAnsi"/>
          <w:color w:val="000000"/>
          <w:lang w:eastAsia="en-US"/>
        </w:rPr>
        <w:t xml:space="preserve"> дня с даты заключения государственного контракта в г. Санкт-Петербург, которые должны действовать до конца выдачи Изделий, согласно условиям Технического задания. Исполнитель вправе организовать дополнительные Пункты приема Получателей в Ленинградской области. Пункты приема Получателей должны быть организованы в различных районах Санкт-Петербурга и Ленинградской области. </w:t>
      </w:r>
    </w:p>
    <w:p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Пункты приема Получателей, организованные на территории Санкт-Петербурга, должны быть расположены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</w:t>
      </w:r>
      <w:r>
        <w:rPr>
          <w:rFonts w:ascii="Times New Roman" w:hAnsi="Times New Roman" w:cs="Times New Roman"/>
          <w:color w:val="000000"/>
          <w:sz w:val="24"/>
        </w:rPr>
        <w:lastRenderedPageBreak/>
        <w:t>метров). 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соответствии с частью 2 статьи 12 Федерального закона от 30.12.2009 № 384-ФЗ «Технический регламент о безопасности зданий и сооружений»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Пункты приема Получателей, организованные на территории Ленинградской области должны находиться на территории административных центров муниципальных районов, административного центра городского округа, в пешей доступности от остановок общественного транспорта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Не позднее 1 (одного) рабочего дня с даты заключения государственного контракта Исполнитель должен предоставить Заказчику информацию об адресе пунктов приема Получателей, графике работы пунктов приема Получателей, контактном телефоне.</w:t>
      </w:r>
    </w:p>
    <w:p>
      <w:pPr>
        <w:jc w:val="both"/>
      </w:pPr>
      <w:r>
        <w:rPr>
          <w:rFonts w:eastAsiaTheme="minorHAnsi"/>
          <w:color w:val="000000"/>
          <w:lang w:eastAsia="en-US"/>
        </w:rPr>
        <w:t>Не позднее 1 (одного) рабочего дня с даты заключения государственного контракта Исполнитель передает Заказчику копии документов, подтверждающих право Исполнителя использовать помещения пунктов приема Получателей,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>
      <w:pPr>
        <w:jc w:val="both"/>
      </w:pPr>
      <w:r>
        <w:t>5.3. Исполнитель обязан предоставить доступные для людей с инвалидностью помещения под размещение пункта (пунктов) приема Получателей в соответствии со статьей 15 Федерального закона от 24.11.1995 № 181 «О социальной защите инвалидов в Российской Федерации.</w:t>
      </w:r>
    </w:p>
    <w:p>
      <w:pPr>
        <w:jc w:val="both"/>
      </w:pPr>
      <w:r>
        <w:t>Вход в каждый пункт (пункты) приема Получателей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 приема Получателей. Проход в пункт (пункты) приема Получателей и передвижение по ним должны быть беспрепятственны для инвалидов (в случае необходимости, пункты приема должны быть оборудованы пандусами для облегчения передвижения инвалидов и соответствовать требованиям СП 59.13330.2020 «Доступность зданий и сооружений для маломобильных групп населения» (далее - СП 59.13330.2020). Исполнителем должна быть обеспечена возможность самостоятельного передвижения инвалидов по территории пункта (пунктов) приема Получателей, в том числе с помощью его работников, а также сменного кресла-коляски.</w:t>
      </w:r>
    </w:p>
    <w:p>
      <w:pPr>
        <w:suppressAutoHyphens/>
        <w:jc w:val="both"/>
      </w:pPr>
      <w:r>
        <w:rPr>
          <w:b/>
        </w:rPr>
        <w:t>Входная группа</w:t>
      </w:r>
      <w:r>
        <w:t xml:space="preserve"> </w:t>
      </w:r>
    </w:p>
    <w:p>
      <w:pPr>
        <w:suppressAutoHyphens/>
        <w:jc w:val="both"/>
      </w:pPr>
      <w:r>
        <w:t>При перепадах высот исполнитель должен учитывать наличие следующих элементов:</w:t>
      </w:r>
    </w:p>
    <w:p>
      <w:pPr>
        <w:suppressAutoHyphens/>
        <w:jc w:val="both"/>
      </w:pPr>
      <w:r>
        <w:t>- Пандус с поручнями;</w:t>
      </w:r>
    </w:p>
    <w:p>
      <w:pPr>
        <w:suppressAutoHyphens/>
        <w:jc w:val="both"/>
      </w:pPr>
      <w:r>
        <w:t>(в соответствии с п. 5.1.14 – п. 5.1.16; п. 6.1.2 – п. 6.1.4; п. 6.2.9 – п. 6.2.11 СП 59.13330.2020);</w:t>
      </w:r>
    </w:p>
    <w:p>
      <w:pPr>
        <w:suppressAutoHyphens/>
        <w:jc w:val="both"/>
      </w:pPr>
      <w:r>
        <w:t>Пандус должен иметь нормативный угол наклона, непрерывное двухстороннее ограждение с поручнями шириной не более 0,9 - 1,0 метра, высотой нижних поручней 0,7 м, а верхних 0,9 м.</w:t>
      </w:r>
    </w:p>
    <w:p>
      <w:pPr>
        <w:suppressAutoHyphens/>
        <w:jc w:val="both"/>
      </w:pPr>
      <w:r>
        <w:t>- Лестница с поручнями;</w:t>
      </w:r>
    </w:p>
    <w:p>
      <w:pPr>
        <w:autoSpaceDE w:val="0"/>
        <w:autoSpaceDN w:val="0"/>
        <w:adjustRightInd w:val="0"/>
        <w:jc w:val="both"/>
      </w:pPr>
      <w:r>
        <w:t xml:space="preserve">Вдоль обеих сторон всех пандусов и открытых лестниц необходимо устанавливать ограждения с поручнями. Поручни следует располагать на высоте 0,9 м (в соответствии с п. 6.2.11 СП 59.13330.2020). </w:t>
      </w:r>
    </w:p>
    <w:p>
      <w:pPr>
        <w:suppressAutoHyphens/>
        <w:jc w:val="both"/>
      </w:pPr>
      <w:r>
        <w:lastRenderedPageBreak/>
        <w:t>Краевые ступени (плоскость) лестниц необходимо обеспечить противоскользящими контрастными полосами общей шириной 0,08 - 0,1 м (в соответствии с п. 6.2.8 СП 59.13330.2020).</w:t>
      </w:r>
    </w:p>
    <w:p>
      <w:pPr>
        <w:suppressAutoHyphens/>
        <w:jc w:val="both"/>
      </w:pPr>
      <w:r>
        <w:t>Применение для инвалидов вместо пандусов аппарелей не допускается на объекте (в соответствии с п. 6.1.2 СП 59.13330.2020).</w:t>
      </w:r>
    </w:p>
    <w:p>
      <w:pPr>
        <w:suppressAutoHyphens/>
        <w:jc w:val="both"/>
      </w:pPr>
      <w: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 6.1.5, п. 6.1.6, п. 6.2.4 СП 59.13330.2020).</w:t>
      </w:r>
    </w:p>
    <w:p>
      <w:pPr>
        <w:suppressAutoHyphens/>
        <w:jc w:val="both"/>
      </w:pPr>
      <w:r>
        <w:t>- Тактильно-контрастные указатели;</w:t>
      </w:r>
    </w:p>
    <w:p>
      <w:pPr>
        <w:suppressAutoHyphens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>
      <w:pPr>
        <w:suppressAutoHyphens/>
        <w:jc w:val="both"/>
        <w:rPr>
          <w:b/>
        </w:rPr>
      </w:pPr>
      <w:r>
        <w:rPr>
          <w:b/>
        </w:rPr>
        <w:t xml:space="preserve">Пути движения внутри пункта (пунктов) </w:t>
      </w:r>
      <w:r>
        <w:rPr>
          <w:b/>
          <w:bCs/>
        </w:rPr>
        <w:t>приема Получателей</w:t>
      </w:r>
    </w:p>
    <w:p>
      <w:pPr>
        <w:suppressAutoHyphens/>
        <w:jc w:val="both"/>
      </w:pPr>
      <w:r>
        <w:t>При перепадах высот Исполнитель должен учитывать наличие следующих элементов:</w:t>
      </w:r>
    </w:p>
    <w:p>
      <w:pPr>
        <w:suppressAutoHyphens/>
        <w:jc w:val="both"/>
      </w:pPr>
      <w:r>
        <w:t xml:space="preserve">- Лифт, подъемная платформа, эскалатор </w:t>
      </w:r>
    </w:p>
    <w:p>
      <w:pPr>
        <w:suppressAutoHyphens/>
        <w:jc w:val="both"/>
        <w:rPr>
          <w:b/>
        </w:rPr>
      </w:pPr>
      <w:r>
        <w:t>(в соответствии с п. 6.2.13 – п. 6.2.18 СП 59.13330.2020).</w:t>
      </w:r>
      <w:r>
        <w:rPr>
          <w:b/>
        </w:rPr>
        <w:t xml:space="preserve"> </w:t>
      </w:r>
    </w:p>
    <w:p>
      <w:pPr>
        <w:suppressAutoHyphens/>
        <w:jc w:val="both"/>
      </w:pPr>
      <w:r>
        <w:t>Лифт должен иметь габариты не менее 1100х1400 мм (ширина х глубина).</w:t>
      </w:r>
    </w:p>
    <w:p>
      <w:pPr>
        <w:suppressAutoHyphens/>
        <w:jc w:val="both"/>
        <w:rPr>
          <w:b/>
        </w:rPr>
      </w:pPr>
      <w:r>
        <w:t>- Лестницы необходимо обеспечить противоскользящими контрастными полосами общей шириной 0,08 - 0,1 м (в соответствии с п. 6.2.8 СП 59.13330.2020).</w:t>
      </w:r>
    </w:p>
    <w:p>
      <w:pPr>
        <w:suppressAutoHyphens/>
        <w:jc w:val="both"/>
      </w:pPr>
      <w:r>
        <w:t>-   Необходимо обеспечить зону досягаемости для посетителей в кресле-коляске в пределах, установленных в соответствии с п. 8.1.7 СП 59.133330.2020.</w:t>
      </w:r>
    </w:p>
    <w:p>
      <w:pPr>
        <w:suppressAutoHyphens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>
      <w:pPr>
        <w:suppressAutoHyphens/>
        <w:jc w:val="both"/>
      </w:pPr>
      <w:r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СП 59.13330.2020).</w:t>
      </w:r>
    </w:p>
    <w:p>
      <w:pPr>
        <w:suppressAutoHyphens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 6.2.3 СП 59.13330.2020).</w:t>
      </w:r>
    </w:p>
    <w:p>
      <w:pPr>
        <w:suppressAutoHyphens/>
        <w:jc w:val="both"/>
        <w:rPr>
          <w:b/>
        </w:rPr>
      </w:pPr>
      <w:r>
        <w:rPr>
          <w:b/>
        </w:rPr>
        <w:t>Пути эвакуации</w:t>
      </w:r>
    </w:p>
    <w:p>
      <w:pPr>
        <w:suppressAutoHyphens/>
        <w:jc w:val="both"/>
      </w:pPr>
      <w:r>
        <w:t xml:space="preserve">В случае невозможности соблюдения положений </w:t>
      </w:r>
      <w:r>
        <w:rPr>
          <w:shd w:val="clear" w:color="auto" w:fill="FFFFFF"/>
        </w:rPr>
        <w:t xml:space="preserve">части 15 статьи 89 </w:t>
      </w:r>
      <w:hyperlink r:id="rId8" w:history="1">
        <w:r>
          <w:rPr>
            <w:spacing w:val="2"/>
          </w:rPr>
          <w:t>Федерального закона от 22.07.2008 №123-ФЗ «Технический регламент о требованиях пожарной безопасности</w:t>
        </w:r>
      </w:hyperlink>
      <w: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«Свод правил. Доступность зданий и сооружений для маломобильных групп населения».</w:t>
      </w:r>
    </w:p>
    <w:p>
      <w:pPr>
        <w:suppressAutoHyphens/>
        <w:jc w:val="both"/>
      </w:pPr>
      <w:r>
        <w:t>Пути эвакуации помещений пункта (пунктов) приема должны обеспечивать безопасность посетителей в соответствии с п. 6.2.19 - п. 6.2.32 СП 59.13330.2020.</w:t>
      </w:r>
    </w:p>
    <w:p>
      <w:pPr>
        <w:suppressAutoHyphens/>
        <w:jc w:val="both"/>
      </w:pPr>
      <w:r>
        <w:t>Обеспечить систему двухсторонней связи с диспетчером или дежурным (в соответствии с п. 6.5.8 СП 59.13330.2020).</w:t>
      </w:r>
    </w:p>
    <w:p>
      <w:pPr>
        <w:suppressAutoHyphens/>
        <w:jc w:val="both"/>
      </w:pPr>
      <w:r>
        <w:t xml:space="preserve">5.4. На территории пункта приема должны иметься туалетные комнаты, оборудованные для посещения Получателями в соответствии с п. 5.22. </w:t>
      </w:r>
      <w:r>
        <w:rPr>
          <w:bCs/>
          <w:spacing w:val="2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№1, 2, 3)</w:t>
      </w:r>
      <w:r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>
        <w:rPr>
          <w:spacing w:val="2"/>
          <w:shd w:val="clear" w:color="auto" w:fill="FFFFFF"/>
        </w:rPr>
        <w:t>6.3.9</w:t>
      </w:r>
      <w:r>
        <w:t xml:space="preserve"> СП 59.13330.2020.</w:t>
      </w:r>
    </w:p>
    <w:p>
      <w:pPr>
        <w:jc w:val="both"/>
      </w:pPr>
      <w:r>
        <w:t xml:space="preserve">5.5. Пункты приема Получателей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Получателей не позволяет обеспечить достижение указанного показателя, Исполнителем оборудуются дополнительные окна обслуживания. </w:t>
      </w:r>
    </w:p>
    <w:p>
      <w:pPr>
        <w:jc w:val="both"/>
      </w:pPr>
      <w: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Получателей должны быть предназначены для Получателей, их </w:t>
      </w:r>
      <w:r>
        <w:lastRenderedPageBreak/>
        <w:t xml:space="preserve">представителей и/или сопровождающих лиц, не должны находиться в подземных (подвальных) и цокольных этажах. </w:t>
      </w:r>
    </w:p>
    <w:p>
      <w:pPr>
        <w:jc w:val="both"/>
      </w:pPr>
      <w:r>
        <w:t>5.7. Изделия должны находиться на складе пункта (пунктов) приема Получателей,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>
      <w:pPr>
        <w:jc w:val="both"/>
      </w:pPr>
      <w:r>
        <w:t>5.8. Пункт (пункты)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>
      <w:pPr>
        <w:numPr>
          <w:ilvl w:val="0"/>
          <w:numId w:val="3"/>
        </w:numPr>
        <w:ind w:left="0"/>
        <w:jc w:val="both"/>
      </w:pPr>
      <w:r>
        <w:t>возможность беспрепятственного входа в объекты и выхода из них;</w:t>
      </w:r>
    </w:p>
    <w:p>
      <w:pPr>
        <w:numPr>
          <w:ilvl w:val="0"/>
          <w:numId w:val="3"/>
        </w:numPr>
        <w:ind w:left="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>
      <w:pPr>
        <w:numPr>
          <w:ilvl w:val="0"/>
          <w:numId w:val="3"/>
        </w:numPr>
        <w:ind w:left="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>
      <w:pPr>
        <w:numPr>
          <w:ilvl w:val="0"/>
          <w:numId w:val="3"/>
        </w:numPr>
        <w:ind w:left="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numPr>
          <w:ilvl w:val="0"/>
          <w:numId w:val="3"/>
        </w:numPr>
        <w:ind w:left="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numPr>
          <w:ilvl w:val="0"/>
          <w:numId w:val="3"/>
        </w:numPr>
        <w:ind w:left="0"/>
        <w:jc w:val="both"/>
      </w:pPr>
      <w: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anchor="block_1000" w:history="1">
        <w:r>
          <w:t>форме</w:t>
        </w:r>
      </w:hyperlink>
      <w:r>
        <w:t xml:space="preserve"> и в </w:t>
      </w:r>
      <w:hyperlink r:id="rId10" w:anchor="block_2000" w:history="1">
        <w:r>
          <w:t>порядке</w:t>
        </w:r>
      </w:hyperlink>
      <w:r>
        <w:t xml:space="preserve">, утвержденных </w:t>
      </w:r>
      <w:hyperlink r:id="rId11" w:history="1">
        <w:r>
          <w:t>приказом</w:t>
        </w:r>
      </w:hyperlink>
      <w:r>
        <w:t xml:space="preserve">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>
      <w:pPr>
        <w:jc w:val="both"/>
      </w:pPr>
      <w:r>
        <w:t>5.9 Пункты должны обеспечивать прием Получателей не менее 6 (шести) дней в неделю, не менее 40 часов в неделю, при этом, время работы пункта (пунктов) должно попадать в интервал с 08:00 до 22:00.</w:t>
      </w:r>
    </w:p>
    <w:p>
      <w:pPr>
        <w:jc w:val="both"/>
      </w:pPr>
      <w:r>
        <w:t>6. В случае получения Изделий путем передачи Изделий по месту нахождения Получателя, такая доставка осуществляется Исполнителем в пределах Санкт-Петербурга и Ленинградской области, не менее чем с 10:00 до 21:00 не менее 6 (шести) дней в неделю, по предварительной записи по номеру телефона, предоставленному Заказчику в срок не позднее 1 (одного) рабочего дня с даты заключения государственного контракта. Доставка осуществляется за счет средств Исполнителя.</w:t>
      </w:r>
    </w:p>
    <w:p>
      <w:pPr>
        <w:jc w:val="both"/>
      </w:pPr>
      <w:r>
        <w:t>Исполнитель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>
      <w:pPr>
        <w:jc w:val="both"/>
      </w:pPr>
      <w:r>
        <w:t>7. Выполнять работы по изготовлению Изделий по индивидуальным размерам Получателей, выдачу Изделий, обучение пользованию Изделиями в срок не более 60 (шестидесяти) календарных дней со дня обращения Получателя.</w:t>
      </w:r>
    </w:p>
    <w:p>
      <w:pPr>
        <w:jc w:val="both"/>
      </w:pPr>
      <w:r>
        <w:t xml:space="preserve">8. С целью подтверждения соответствия изготовляемых Изделий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Изделий и соответствия пункта (пунктов) приема Получателей требованиям технического задания.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>
      <w:pPr>
        <w:rPr>
          <w:b/>
        </w:rPr>
      </w:pPr>
      <w:r>
        <w:t xml:space="preserve">9. В случаях отказа от Изделия Получателя, Исполнитель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2" w:history="1">
        <w:r>
          <w:t>osp@ro78.fss.ru</w:t>
        </w:r>
      </w:hyperlink>
      <w:r>
        <w:t xml:space="preserve">, </w:t>
      </w:r>
      <w:hyperlink r:id="rId13" w:history="1">
        <w:r>
          <w:t>tsrfil31@ro78.fss.ru</w:t>
        </w:r>
      </w:hyperlink>
    </w:p>
    <w:p/>
    <w:sectPr>
      <w:footnotePr>
        <w:numFmt w:val="chicago"/>
      </w:footnotePr>
      <w:pgSz w:w="11906" w:h="16838"/>
      <w:pgMar w:top="568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3EA7"/>
    <w:multiLevelType w:val="hybridMultilevel"/>
    <w:tmpl w:val="8BC47EC8"/>
    <w:lvl w:ilvl="0" w:tplc="515494EC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6A3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BB1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4D83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6B6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387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0B1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A5F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96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560875"/>
    <w:multiLevelType w:val="hybridMultilevel"/>
    <w:tmpl w:val="2486AC0C"/>
    <w:lvl w:ilvl="0" w:tplc="B55E49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AC9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B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6A9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33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282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26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AF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ED2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2146A"/>
    <w:multiLevelType w:val="hybridMultilevel"/>
    <w:tmpl w:val="BCBACB62"/>
    <w:lvl w:ilvl="0" w:tplc="043EFF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0F29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63964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088E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2B3FE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E3E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AF31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4A38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C2B9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07BE-AA90-4F04-931A-D37EFDE0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List Paragraph"/>
    <w:aliases w:val="GOST_TableList,it_List1,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Подпись рисунка"/>
    <w:basedOn w:val="a"/>
    <w:link w:val="a5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GOST_TableList Знак,it_List1 Знак,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"/>
    <w:link w:val="a4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yperlink" Target="mailto:tsrfil31@ro78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hyperlink" Target="mailto:osp@ro78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http://base.garant.ru/71145140/" TargetMode="External"/><Relationship Id="rId5" Type="http://schemas.openxmlformats.org/officeDocument/2006/relationships/hyperlink" Target="mailto:osp@ro78.f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1145140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Ольга Николаевна</dc:creator>
  <cp:keywords/>
  <dc:description/>
  <cp:lastModifiedBy>Харламова Ольга Николаевна</cp:lastModifiedBy>
  <cp:revision>2</cp:revision>
  <dcterms:created xsi:type="dcterms:W3CDTF">2024-02-12T11:50:00Z</dcterms:created>
  <dcterms:modified xsi:type="dcterms:W3CDTF">2024-02-12T11:50:00Z</dcterms:modified>
</cp:coreProperties>
</file>