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AE" w:rsidRPr="008E473C" w:rsidRDefault="00B26DAE" w:rsidP="00B26DAE">
      <w:pPr>
        <w:tabs>
          <w:tab w:val="left" w:pos="567"/>
        </w:tabs>
        <w:jc w:val="right"/>
        <w:rPr>
          <w:rFonts w:eastAsiaTheme="minorHAnsi"/>
          <w:i/>
          <w:lang w:eastAsia="en-US"/>
        </w:rPr>
      </w:pPr>
      <w:r w:rsidRPr="008E473C">
        <w:rPr>
          <w:rFonts w:eastAsiaTheme="minorHAnsi"/>
          <w:i/>
          <w:lang w:eastAsia="en-US"/>
        </w:rPr>
        <w:t xml:space="preserve">Приложение № </w:t>
      </w:r>
      <w:r>
        <w:rPr>
          <w:rFonts w:eastAsiaTheme="minorHAnsi"/>
          <w:i/>
          <w:lang w:eastAsia="en-US"/>
        </w:rPr>
        <w:t>1</w:t>
      </w:r>
      <w:r w:rsidRPr="008E473C">
        <w:rPr>
          <w:rFonts w:eastAsiaTheme="minorHAnsi"/>
          <w:i/>
          <w:lang w:eastAsia="en-US"/>
        </w:rPr>
        <w:t xml:space="preserve"> </w:t>
      </w:r>
    </w:p>
    <w:p w:rsidR="00B26DAE" w:rsidRDefault="00B26DAE" w:rsidP="00B26DAE">
      <w:pPr>
        <w:tabs>
          <w:tab w:val="left" w:pos="567"/>
        </w:tabs>
        <w:jc w:val="right"/>
        <w:rPr>
          <w:rFonts w:eastAsiaTheme="minorHAnsi"/>
          <w:i/>
          <w:lang w:eastAsia="en-US"/>
        </w:rPr>
      </w:pPr>
      <w:r w:rsidRPr="008E473C">
        <w:rPr>
          <w:rFonts w:eastAsiaTheme="minorHAnsi"/>
          <w:i/>
          <w:lang w:eastAsia="en-US"/>
        </w:rPr>
        <w:t>к извещению о проведении закупки</w:t>
      </w:r>
    </w:p>
    <w:p w:rsidR="00B26DAE" w:rsidRDefault="00B26DAE" w:rsidP="00B26DAE">
      <w:pPr>
        <w:tabs>
          <w:tab w:val="left" w:pos="567"/>
        </w:tabs>
        <w:jc w:val="right"/>
        <w:rPr>
          <w:rFonts w:eastAsiaTheme="minorHAnsi"/>
          <w:i/>
          <w:lang w:eastAsia="en-US"/>
        </w:rPr>
      </w:pPr>
    </w:p>
    <w:p w:rsidR="00A26CF1" w:rsidRPr="00A26CF1" w:rsidRDefault="00A26CF1" w:rsidP="00A26CF1">
      <w:pPr>
        <w:tabs>
          <w:tab w:val="left" w:pos="993"/>
        </w:tabs>
        <w:jc w:val="center"/>
        <w:rPr>
          <w:b/>
        </w:rPr>
      </w:pPr>
      <w:r w:rsidRPr="00A26CF1">
        <w:rPr>
          <w:b/>
        </w:rPr>
        <w:t xml:space="preserve">Описание объекта закупки (техническое задание) на поставку специальных средств при нарушениях функций выделения (средств по уходу за </w:t>
      </w:r>
      <w:proofErr w:type="spellStart"/>
      <w:r w:rsidRPr="00A26CF1">
        <w:rPr>
          <w:b/>
        </w:rPr>
        <w:t>стомой</w:t>
      </w:r>
      <w:proofErr w:type="spellEnd"/>
      <w:r w:rsidRPr="00A26CF1">
        <w:rPr>
          <w:b/>
        </w:rPr>
        <w:t>) (далее – Товар) для инвалидов (далее – Получатели) в 2022 году</w:t>
      </w:r>
    </w:p>
    <w:p w:rsidR="00A26CF1" w:rsidRPr="00A26CF1" w:rsidRDefault="00A26CF1" w:rsidP="00A26CF1">
      <w:pPr>
        <w:jc w:val="center"/>
        <w:rPr>
          <w:rFonts w:eastAsia="Times New Roman"/>
        </w:rPr>
      </w:pPr>
    </w:p>
    <w:p w:rsidR="00A26CF1" w:rsidRPr="008B1DED" w:rsidRDefault="00A26CF1" w:rsidP="004F0F2B">
      <w:pPr>
        <w:spacing w:line="192" w:lineRule="auto"/>
        <w:jc w:val="both"/>
        <w:rPr>
          <w:rFonts w:eastAsia="Times New Roman"/>
        </w:rPr>
      </w:pPr>
      <w:r w:rsidRPr="008B1DED">
        <w:rPr>
          <w:rFonts w:eastAsia="Times New Roman"/>
        </w:rPr>
        <w:t>Данная закупка осуществляется в соответствии с приказом Министерства труда и социальной защиты Российской Федерации от 11.03.2019 № 144н «Об утверждении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услуг, предоставляемых инвалиду, и информационной карты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услуг, предоставляемых инвалиду».</w:t>
      </w:r>
    </w:p>
    <w:p w:rsidR="00A26CF1" w:rsidRPr="00246F4A" w:rsidRDefault="00A26CF1" w:rsidP="004F0F2B">
      <w:pPr>
        <w:spacing w:line="192" w:lineRule="auto"/>
        <w:jc w:val="both"/>
        <w:rPr>
          <w:rFonts w:eastAsia="Times New Roman"/>
          <w:color w:val="FF0000"/>
        </w:rPr>
      </w:pPr>
      <w:r w:rsidRPr="00246F4A">
        <w:rPr>
          <w:rFonts w:eastAsia="Times New Roman"/>
          <w:b/>
        </w:rPr>
        <w:t>Срок поставки Товара Получателям:</w:t>
      </w:r>
      <w:r w:rsidRPr="00246F4A">
        <w:rPr>
          <w:rFonts w:eastAsia="Times New Roman"/>
        </w:rPr>
        <w:t xml:space="preserve"> с даты получения от Заказчика р</w:t>
      </w:r>
      <w:r w:rsidR="00246F4A">
        <w:rPr>
          <w:rFonts w:eastAsia="Times New Roman"/>
        </w:rPr>
        <w:t>еестра получателей Товара до «</w:t>
      </w:r>
      <w:r w:rsidRPr="00246F4A">
        <w:rPr>
          <w:rFonts w:eastAsia="Times New Roman"/>
        </w:rPr>
        <w:t>10</w:t>
      </w:r>
      <w:r w:rsidR="00246F4A">
        <w:rPr>
          <w:rFonts w:eastAsia="Times New Roman"/>
        </w:rPr>
        <w:t>»</w:t>
      </w:r>
      <w:r w:rsidRPr="00246F4A">
        <w:rPr>
          <w:rFonts w:eastAsia="Times New Roman"/>
        </w:rPr>
        <w:t xml:space="preserve"> декабря 2022 года (включительно).</w:t>
      </w:r>
    </w:p>
    <w:p w:rsidR="00A26CF1" w:rsidRPr="00246F4A" w:rsidRDefault="00A26CF1" w:rsidP="004F0F2B">
      <w:pPr>
        <w:spacing w:line="192" w:lineRule="auto"/>
        <w:jc w:val="both"/>
        <w:rPr>
          <w:rFonts w:eastAsia="Times New Roman"/>
        </w:rPr>
      </w:pPr>
      <w:r w:rsidRPr="00246F4A">
        <w:rPr>
          <w:rFonts w:eastAsia="Times New Roman"/>
          <w:b/>
        </w:rPr>
        <w:t>Место доставки Товара:</w:t>
      </w:r>
      <w:r w:rsidRPr="00246F4A">
        <w:rPr>
          <w:rFonts w:eastAsia="Times New Roman"/>
        </w:rPr>
        <w:t xml:space="preserve"> Санкт-Петербург. </w:t>
      </w:r>
    </w:p>
    <w:p w:rsidR="00A26CF1" w:rsidRPr="001A0745" w:rsidRDefault="00A26CF1" w:rsidP="004F0F2B">
      <w:pPr>
        <w:pStyle w:val="a4"/>
        <w:numPr>
          <w:ilvl w:val="0"/>
          <w:numId w:val="2"/>
        </w:numPr>
        <w:spacing w:line="192" w:lineRule="auto"/>
        <w:ind w:left="0" w:firstLine="567"/>
        <w:jc w:val="both"/>
      </w:pPr>
      <w:r w:rsidRPr="00246F4A">
        <w:rPr>
          <w:rFonts w:ascii="Times New Roman" w:eastAsia="Times New Roman" w:hAnsi="Times New Roman"/>
          <w:sz w:val="24"/>
          <w:szCs w:val="24"/>
        </w:rPr>
        <w:t>Поставщик обязан обеспечить поступление Товара по наименованию, в количестве и в сроки, определенные календарным планом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tblpX="-10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3150"/>
        <w:gridCol w:w="4390"/>
        <w:gridCol w:w="1985"/>
      </w:tblGrid>
      <w:tr w:rsidR="00A26CF1" w:rsidRPr="004853B6" w:rsidTr="00743117">
        <w:trPr>
          <w:trHeight w:val="454"/>
        </w:trPr>
        <w:tc>
          <w:tcPr>
            <w:tcW w:w="535" w:type="dxa"/>
          </w:tcPr>
          <w:p w:rsidR="00A26CF1" w:rsidRPr="004853B6" w:rsidRDefault="00A26CF1" w:rsidP="007431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3B6">
              <w:rPr>
                <w:sz w:val="22"/>
                <w:szCs w:val="22"/>
              </w:rPr>
              <w:t>№ п/п</w:t>
            </w:r>
          </w:p>
        </w:tc>
        <w:tc>
          <w:tcPr>
            <w:tcW w:w="3150" w:type="dxa"/>
          </w:tcPr>
          <w:p w:rsidR="00A26CF1" w:rsidRPr="004853B6" w:rsidRDefault="00A26CF1" w:rsidP="007431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3B6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4390" w:type="dxa"/>
          </w:tcPr>
          <w:p w:rsidR="00A26CF1" w:rsidRPr="004853B6" w:rsidRDefault="00A26CF1" w:rsidP="007431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3B6">
              <w:rPr>
                <w:sz w:val="22"/>
                <w:szCs w:val="22"/>
              </w:rPr>
              <w:t>Периоды поставки на 2022 год</w:t>
            </w:r>
          </w:p>
        </w:tc>
        <w:tc>
          <w:tcPr>
            <w:tcW w:w="1985" w:type="dxa"/>
          </w:tcPr>
          <w:p w:rsidR="00A26CF1" w:rsidRPr="004853B6" w:rsidRDefault="00A26CF1" w:rsidP="007431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853B6">
              <w:rPr>
                <w:sz w:val="22"/>
                <w:szCs w:val="22"/>
              </w:rPr>
              <w:t>Количество,</w:t>
            </w:r>
          </w:p>
          <w:p w:rsidR="00A26CF1" w:rsidRPr="004853B6" w:rsidRDefault="00A26CF1" w:rsidP="007431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53B6">
              <w:rPr>
                <w:sz w:val="22"/>
                <w:szCs w:val="22"/>
              </w:rPr>
              <w:t>(шт.)</w:t>
            </w:r>
          </w:p>
        </w:tc>
      </w:tr>
      <w:tr w:rsidR="00A26CF1" w:rsidRPr="004853B6" w:rsidTr="00743117">
        <w:trPr>
          <w:trHeight w:val="460"/>
        </w:trPr>
        <w:tc>
          <w:tcPr>
            <w:tcW w:w="535" w:type="dxa"/>
            <w:vMerge w:val="restart"/>
          </w:tcPr>
          <w:p w:rsidR="00A26CF1" w:rsidRPr="004853B6" w:rsidRDefault="00A26CF1" w:rsidP="00743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853B6">
              <w:rPr>
                <w:sz w:val="22"/>
                <w:szCs w:val="22"/>
              </w:rPr>
              <w:t>.</w:t>
            </w:r>
          </w:p>
        </w:tc>
        <w:tc>
          <w:tcPr>
            <w:tcW w:w="3150" w:type="dxa"/>
            <w:vMerge w:val="restart"/>
          </w:tcPr>
          <w:p w:rsidR="00A26CF1" w:rsidRPr="004853B6" w:rsidRDefault="00A26CF1" w:rsidP="00743117">
            <w:pPr>
              <w:rPr>
                <w:sz w:val="22"/>
                <w:szCs w:val="22"/>
              </w:rPr>
            </w:pPr>
            <w:r w:rsidRPr="004853B6">
              <w:rPr>
                <w:sz w:val="22"/>
                <w:szCs w:val="22"/>
              </w:rPr>
              <w:t>Защитная пленка в форме салфеток, не менее 30 шт.</w:t>
            </w:r>
          </w:p>
        </w:tc>
        <w:tc>
          <w:tcPr>
            <w:tcW w:w="4390" w:type="dxa"/>
          </w:tcPr>
          <w:p w:rsidR="00A26CF1" w:rsidRPr="004853B6" w:rsidRDefault="00A26CF1" w:rsidP="004F0F2B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4853B6">
              <w:rPr>
                <w:sz w:val="22"/>
                <w:szCs w:val="22"/>
              </w:rPr>
              <w:t xml:space="preserve">В течение 2 (двух) календарных дней </w:t>
            </w:r>
          </w:p>
          <w:p w:rsidR="00A26CF1" w:rsidRPr="004853B6" w:rsidRDefault="00A26CF1" w:rsidP="004F0F2B">
            <w:pPr>
              <w:spacing w:line="192" w:lineRule="auto"/>
              <w:rPr>
                <w:sz w:val="22"/>
                <w:szCs w:val="22"/>
              </w:rPr>
            </w:pPr>
            <w:r w:rsidRPr="004853B6">
              <w:rPr>
                <w:sz w:val="22"/>
                <w:szCs w:val="22"/>
              </w:rPr>
              <w:t>с даты заключения государственного контракта</w:t>
            </w:r>
          </w:p>
        </w:tc>
        <w:tc>
          <w:tcPr>
            <w:tcW w:w="1985" w:type="dxa"/>
          </w:tcPr>
          <w:p w:rsidR="00A26CF1" w:rsidRPr="004853B6" w:rsidRDefault="00A26CF1" w:rsidP="007431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63 750</w:t>
            </w:r>
          </w:p>
        </w:tc>
      </w:tr>
      <w:tr w:rsidR="00A26CF1" w:rsidRPr="004853B6" w:rsidTr="00743117">
        <w:trPr>
          <w:trHeight w:val="342"/>
        </w:trPr>
        <w:tc>
          <w:tcPr>
            <w:tcW w:w="535" w:type="dxa"/>
            <w:vMerge/>
          </w:tcPr>
          <w:p w:rsidR="00A26CF1" w:rsidRPr="004853B6" w:rsidRDefault="00A26CF1" w:rsidP="00743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A26CF1" w:rsidRPr="004853B6" w:rsidRDefault="00A26CF1" w:rsidP="00743117">
            <w:pPr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A26CF1" w:rsidRPr="004853B6" w:rsidRDefault="00A26CF1" w:rsidP="004F0F2B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4853B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30 (тридцати</w:t>
            </w:r>
            <w:r w:rsidRPr="004853B6">
              <w:rPr>
                <w:sz w:val="22"/>
                <w:szCs w:val="22"/>
              </w:rPr>
              <w:t>) календарных дней с даты заключения государственного контракта</w:t>
            </w:r>
          </w:p>
        </w:tc>
        <w:tc>
          <w:tcPr>
            <w:tcW w:w="1985" w:type="dxa"/>
          </w:tcPr>
          <w:p w:rsidR="00A26CF1" w:rsidRPr="004853B6" w:rsidRDefault="00A26CF1" w:rsidP="007431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63 750</w:t>
            </w:r>
          </w:p>
        </w:tc>
      </w:tr>
      <w:tr w:rsidR="00A26CF1" w:rsidRPr="004853B6" w:rsidTr="00743117">
        <w:trPr>
          <w:trHeight w:val="173"/>
        </w:trPr>
        <w:tc>
          <w:tcPr>
            <w:tcW w:w="535" w:type="dxa"/>
            <w:vMerge w:val="restart"/>
          </w:tcPr>
          <w:p w:rsidR="00A26CF1" w:rsidRPr="004853B6" w:rsidRDefault="00A26CF1" w:rsidP="00743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50" w:type="dxa"/>
            <w:vMerge w:val="restart"/>
          </w:tcPr>
          <w:p w:rsidR="00A26CF1" w:rsidRPr="004853B6" w:rsidRDefault="00A26CF1" w:rsidP="00743117">
            <w:pPr>
              <w:rPr>
                <w:sz w:val="22"/>
                <w:szCs w:val="22"/>
              </w:rPr>
            </w:pPr>
            <w:r w:rsidRPr="007371AE">
              <w:t xml:space="preserve">Абсорбирующие </w:t>
            </w:r>
            <w:proofErr w:type="spellStart"/>
            <w:r w:rsidRPr="007371AE">
              <w:t>желирующие</w:t>
            </w:r>
            <w:proofErr w:type="spellEnd"/>
            <w:r w:rsidRPr="007371AE">
              <w:t xml:space="preserve"> пакетики для </w:t>
            </w:r>
            <w:proofErr w:type="spellStart"/>
            <w:r w:rsidRPr="007371AE">
              <w:t>стомных</w:t>
            </w:r>
            <w:proofErr w:type="spellEnd"/>
            <w:r w:rsidRPr="007371AE">
              <w:t xml:space="preserve"> мешков, не менее 30 шт</w:t>
            </w:r>
            <w:r>
              <w:t>.</w:t>
            </w:r>
          </w:p>
        </w:tc>
        <w:tc>
          <w:tcPr>
            <w:tcW w:w="4390" w:type="dxa"/>
          </w:tcPr>
          <w:p w:rsidR="00A26CF1" w:rsidRPr="004853B6" w:rsidRDefault="00A26CF1" w:rsidP="004F0F2B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4853B6">
              <w:rPr>
                <w:sz w:val="22"/>
                <w:szCs w:val="22"/>
              </w:rPr>
              <w:t xml:space="preserve">В течение 2 (двух) календарных дней </w:t>
            </w:r>
          </w:p>
          <w:p w:rsidR="00A26CF1" w:rsidRPr="004853B6" w:rsidRDefault="00A26CF1" w:rsidP="004F0F2B">
            <w:pPr>
              <w:spacing w:line="192" w:lineRule="auto"/>
              <w:rPr>
                <w:sz w:val="22"/>
                <w:szCs w:val="22"/>
              </w:rPr>
            </w:pPr>
            <w:r w:rsidRPr="004853B6">
              <w:rPr>
                <w:sz w:val="22"/>
                <w:szCs w:val="22"/>
              </w:rPr>
              <w:t>с даты заключения государственного контракта</w:t>
            </w:r>
          </w:p>
        </w:tc>
        <w:tc>
          <w:tcPr>
            <w:tcW w:w="1985" w:type="dxa"/>
          </w:tcPr>
          <w:p w:rsidR="00A26CF1" w:rsidRDefault="00A26CF1" w:rsidP="007431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26CF1" w:rsidRPr="004853B6" w:rsidTr="004F0F2B">
        <w:trPr>
          <w:trHeight w:val="532"/>
        </w:trPr>
        <w:tc>
          <w:tcPr>
            <w:tcW w:w="535" w:type="dxa"/>
            <w:vMerge/>
          </w:tcPr>
          <w:p w:rsidR="00A26CF1" w:rsidRDefault="00A26CF1" w:rsidP="007431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A26CF1" w:rsidRPr="004853B6" w:rsidRDefault="00A26CF1" w:rsidP="00743117">
            <w:pPr>
              <w:rPr>
                <w:sz w:val="22"/>
                <w:szCs w:val="22"/>
              </w:rPr>
            </w:pPr>
          </w:p>
        </w:tc>
        <w:tc>
          <w:tcPr>
            <w:tcW w:w="4390" w:type="dxa"/>
          </w:tcPr>
          <w:p w:rsidR="00A26CF1" w:rsidRPr="004853B6" w:rsidRDefault="00A26CF1" w:rsidP="004F0F2B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4853B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30 (тридцати</w:t>
            </w:r>
            <w:r w:rsidRPr="004853B6">
              <w:rPr>
                <w:sz w:val="22"/>
                <w:szCs w:val="22"/>
              </w:rPr>
              <w:t>) календарных дней с даты заключения государственного контракта</w:t>
            </w:r>
          </w:p>
        </w:tc>
        <w:tc>
          <w:tcPr>
            <w:tcW w:w="1985" w:type="dxa"/>
          </w:tcPr>
          <w:p w:rsidR="00A26CF1" w:rsidRDefault="00A26CF1" w:rsidP="007431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A26CF1" w:rsidRPr="004853B6" w:rsidTr="00743117">
        <w:tc>
          <w:tcPr>
            <w:tcW w:w="8075" w:type="dxa"/>
            <w:gridSpan w:val="3"/>
          </w:tcPr>
          <w:p w:rsidR="00A26CF1" w:rsidRPr="004853B6" w:rsidRDefault="00A26CF1" w:rsidP="007431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853B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5" w:type="dxa"/>
          </w:tcPr>
          <w:p w:rsidR="00A26CF1" w:rsidRPr="004853B6" w:rsidRDefault="00A26CF1" w:rsidP="007431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127 800</w:t>
            </w:r>
          </w:p>
        </w:tc>
      </w:tr>
    </w:tbl>
    <w:p w:rsidR="00A26CF1" w:rsidRDefault="00A26CF1" w:rsidP="00A26CF1">
      <w:pPr>
        <w:jc w:val="both"/>
        <w:rPr>
          <w:rFonts w:eastAsia="Times New Roman"/>
        </w:rPr>
      </w:pPr>
    </w:p>
    <w:p w:rsidR="00A26CF1" w:rsidRDefault="00A26CF1" w:rsidP="00A26CF1">
      <w:pPr>
        <w:jc w:val="both"/>
        <w:rPr>
          <w:rFonts w:eastAsia="Times New Roman"/>
        </w:rPr>
      </w:pPr>
      <w:r w:rsidRPr="00F32DB0">
        <w:rPr>
          <w:rFonts w:eastAsia="Times New Roman"/>
        </w:rPr>
        <w:t xml:space="preserve">2. </w:t>
      </w:r>
      <w:r w:rsidRPr="00383712">
        <w:rPr>
          <w:rFonts w:eastAsia="Times New Roman"/>
        </w:rPr>
        <w:t xml:space="preserve">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A26CF1" w:rsidRDefault="00A26CF1" w:rsidP="00A26CF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589">
        <w:rPr>
          <w:rFonts w:ascii="Times New Roman" w:eastAsia="Times New Roman" w:hAnsi="Times New Roman"/>
          <w:sz w:val="24"/>
          <w:szCs w:val="24"/>
          <w:lang w:eastAsia="ru-RU"/>
        </w:rPr>
        <w:t>Товар должен отвечать следующим требованиям: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2"/>
        <w:gridCol w:w="3969"/>
        <w:gridCol w:w="1985"/>
        <w:gridCol w:w="1276"/>
      </w:tblGrid>
      <w:tr w:rsidR="004F0F2B" w:rsidRPr="00F86E99" w:rsidTr="004F0F2B">
        <w:trPr>
          <w:trHeight w:val="1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2B" w:rsidRPr="004F0F2B" w:rsidRDefault="004F0F2B" w:rsidP="00743117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4F0F2B">
              <w:rPr>
                <w:lang w:eastAsia="ar-SA"/>
              </w:rPr>
              <w:t>№ 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2B" w:rsidRPr="004F0F2B" w:rsidRDefault="004F0F2B" w:rsidP="00743117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</w:pPr>
            <w:r w:rsidRPr="004F0F2B">
              <w:t>Наименование Товара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2B" w:rsidRPr="004F0F2B" w:rsidRDefault="004F0F2B" w:rsidP="00743117">
            <w:pPr>
              <w:widowControl w:val="0"/>
              <w:tabs>
                <w:tab w:val="left" w:pos="0"/>
              </w:tabs>
              <w:suppressAutoHyphens/>
              <w:snapToGrid w:val="0"/>
              <w:spacing w:line="192" w:lineRule="auto"/>
              <w:jc w:val="center"/>
            </w:pPr>
            <w:r w:rsidRPr="004F0F2B">
              <w:t>Наименование характеристики Товара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2B" w:rsidRPr="004F0F2B" w:rsidRDefault="004F0F2B" w:rsidP="00743117">
            <w:pPr>
              <w:widowControl w:val="0"/>
              <w:suppressAutoHyphens/>
              <w:jc w:val="center"/>
            </w:pPr>
            <w:r w:rsidRPr="004F0F2B">
              <w:t>Показатель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2B" w:rsidRPr="004F0F2B" w:rsidRDefault="004F0F2B" w:rsidP="004F0F2B">
            <w:pPr>
              <w:widowControl w:val="0"/>
              <w:suppressAutoHyphens/>
              <w:jc w:val="center"/>
            </w:pPr>
            <w:r w:rsidRPr="004F0F2B">
              <w:t>Количество (шт.)</w:t>
            </w:r>
          </w:p>
        </w:tc>
      </w:tr>
      <w:tr w:rsidR="004F0F2B" w:rsidRPr="00F86E99" w:rsidTr="004F0F2B">
        <w:trPr>
          <w:trHeight w:val="15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2B" w:rsidRPr="004F0F2B" w:rsidRDefault="004F0F2B" w:rsidP="00743117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4F0F2B">
              <w:rPr>
                <w:lang w:eastAsia="ar-SA"/>
              </w:rPr>
              <w:t>1.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F2B" w:rsidRPr="004F0F2B" w:rsidRDefault="004F0F2B" w:rsidP="004958D4">
            <w:pPr>
              <w:widowControl w:val="0"/>
              <w:tabs>
                <w:tab w:val="left" w:pos="0"/>
              </w:tabs>
              <w:suppressAutoHyphens/>
              <w:snapToGrid w:val="0"/>
              <w:spacing w:line="192" w:lineRule="auto"/>
              <w:jc w:val="both"/>
            </w:pPr>
            <w:r w:rsidRPr="004F0F2B">
              <w:t>Защитная пленка в форме салфеток, не менее 30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2B" w:rsidRPr="004F0F2B" w:rsidRDefault="004F0F2B" w:rsidP="00743117">
            <w:pPr>
              <w:widowControl w:val="0"/>
              <w:tabs>
                <w:tab w:val="left" w:pos="0"/>
              </w:tabs>
              <w:suppressAutoHyphens/>
              <w:snapToGrid w:val="0"/>
              <w:spacing w:line="192" w:lineRule="auto"/>
              <w:jc w:val="both"/>
            </w:pPr>
            <w:r w:rsidRPr="004F0F2B">
              <w:t xml:space="preserve">Защитное средство, предохраняющее кожу от воздействия выделений из </w:t>
            </w:r>
            <w:proofErr w:type="spellStart"/>
            <w:r w:rsidRPr="004F0F2B">
              <w:t>стомы</w:t>
            </w:r>
            <w:proofErr w:type="spellEnd"/>
            <w:r w:rsidRPr="004F0F2B">
              <w:t xml:space="preserve"> и повреждений при удалении адгезивной пластины, образующие </w:t>
            </w:r>
            <w:r w:rsidRPr="004F0F2B">
              <w:lastRenderedPageBreak/>
              <w:t>защитную пленку на коже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2B" w:rsidRPr="004F0F2B" w:rsidRDefault="004F0F2B" w:rsidP="00743117">
            <w:pPr>
              <w:widowControl w:val="0"/>
              <w:suppressAutoHyphens/>
              <w:jc w:val="center"/>
            </w:pPr>
            <w:r w:rsidRPr="004F0F2B">
              <w:lastRenderedPageBreak/>
              <w:t>наличие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2B" w:rsidRPr="004F0F2B" w:rsidRDefault="004F0F2B" w:rsidP="00743117">
            <w:pPr>
              <w:widowControl w:val="0"/>
              <w:suppressAutoHyphens/>
              <w:jc w:val="center"/>
            </w:pPr>
            <w:r w:rsidRPr="004F0F2B">
              <w:t>127 500</w:t>
            </w:r>
          </w:p>
        </w:tc>
      </w:tr>
      <w:tr w:rsidR="004F0F2B" w:rsidRPr="00F86E99" w:rsidTr="004F0F2B">
        <w:trPr>
          <w:trHeight w:val="15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2B" w:rsidRPr="004F0F2B" w:rsidRDefault="004F0F2B" w:rsidP="00743117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F2B" w:rsidRPr="004F0F2B" w:rsidRDefault="004F0F2B" w:rsidP="004F0F2B">
            <w:pPr>
              <w:widowControl w:val="0"/>
              <w:tabs>
                <w:tab w:val="left" w:pos="0"/>
              </w:tabs>
              <w:suppressAutoHyphens/>
              <w:snapToGrid w:val="0"/>
              <w:spacing w:line="192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2B" w:rsidRPr="004F0F2B" w:rsidRDefault="004F0F2B" w:rsidP="00743117">
            <w:pPr>
              <w:widowControl w:val="0"/>
              <w:tabs>
                <w:tab w:val="left" w:pos="0"/>
              </w:tabs>
              <w:suppressAutoHyphens/>
              <w:snapToGrid w:val="0"/>
              <w:spacing w:line="192" w:lineRule="auto"/>
              <w:jc w:val="both"/>
            </w:pPr>
            <w:r w:rsidRPr="004F0F2B">
              <w:t>Количество салфеток в упаковке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2B" w:rsidRPr="004F0F2B" w:rsidRDefault="004F0F2B" w:rsidP="00743117">
            <w:pPr>
              <w:widowControl w:val="0"/>
              <w:suppressAutoHyphens/>
              <w:jc w:val="center"/>
            </w:pPr>
            <w:r w:rsidRPr="004F0F2B">
              <w:t>не менее 30 шт. (включительно)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2B" w:rsidRPr="004F0F2B" w:rsidRDefault="004F0F2B" w:rsidP="00743117">
            <w:pPr>
              <w:widowControl w:val="0"/>
              <w:suppressAutoHyphens/>
              <w:jc w:val="center"/>
            </w:pPr>
          </w:p>
        </w:tc>
      </w:tr>
      <w:tr w:rsidR="004F0F2B" w:rsidRPr="00F86E99" w:rsidTr="004F0F2B">
        <w:trPr>
          <w:trHeight w:val="15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F2B" w:rsidRPr="004F0F2B" w:rsidRDefault="004F0F2B" w:rsidP="00743117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4F0F2B">
              <w:rPr>
                <w:lang w:eastAsia="ar-SA"/>
              </w:rPr>
              <w:t>2.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4F0F2B" w:rsidRPr="004F0F2B" w:rsidRDefault="004F0F2B" w:rsidP="004F0F2B">
            <w:pPr>
              <w:widowControl w:val="0"/>
              <w:tabs>
                <w:tab w:val="left" w:pos="0"/>
              </w:tabs>
              <w:suppressAutoHyphens/>
              <w:snapToGrid w:val="0"/>
              <w:spacing w:line="192" w:lineRule="auto"/>
              <w:jc w:val="both"/>
            </w:pPr>
            <w:r w:rsidRPr="004F0F2B">
              <w:t xml:space="preserve">Абсорбирующие </w:t>
            </w:r>
            <w:proofErr w:type="spellStart"/>
            <w:r w:rsidRPr="004F0F2B">
              <w:t>желирующие</w:t>
            </w:r>
            <w:proofErr w:type="spellEnd"/>
            <w:r w:rsidRPr="004F0F2B">
              <w:t xml:space="preserve"> пакетики для </w:t>
            </w:r>
            <w:proofErr w:type="spellStart"/>
            <w:r w:rsidRPr="004F0F2B">
              <w:t>стомных</w:t>
            </w:r>
            <w:proofErr w:type="spellEnd"/>
            <w:r w:rsidRPr="004F0F2B">
              <w:t xml:space="preserve"> мешков, не менее 30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2B" w:rsidRPr="004F0F2B" w:rsidRDefault="004F0F2B" w:rsidP="00743117">
            <w:pPr>
              <w:jc w:val="both"/>
            </w:pPr>
            <w:r w:rsidRPr="004F0F2B">
              <w:t xml:space="preserve">Предназначены для </w:t>
            </w:r>
            <w:proofErr w:type="spellStart"/>
            <w:r w:rsidRPr="004F0F2B">
              <w:t>желирования</w:t>
            </w:r>
            <w:proofErr w:type="spellEnd"/>
            <w:r w:rsidRPr="004F0F2B">
              <w:t xml:space="preserve"> жидкого отделяемого из </w:t>
            </w:r>
            <w:proofErr w:type="spellStart"/>
            <w:r w:rsidRPr="004F0F2B">
              <w:t>стомы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2B" w:rsidRPr="004F0F2B" w:rsidRDefault="008E392F" w:rsidP="00743117">
            <w:pPr>
              <w:jc w:val="center"/>
            </w:pPr>
            <w:r>
              <w:t>н</w:t>
            </w:r>
            <w:bookmarkStart w:id="0" w:name="_GoBack"/>
            <w:bookmarkEnd w:id="0"/>
            <w:r w:rsidR="004F0F2B" w:rsidRPr="004F0F2B">
              <w:t>аличие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F2B" w:rsidRPr="004F0F2B" w:rsidRDefault="004F0F2B" w:rsidP="00743117">
            <w:pPr>
              <w:widowControl w:val="0"/>
              <w:suppressAutoHyphens/>
              <w:jc w:val="center"/>
            </w:pPr>
            <w:r w:rsidRPr="004F0F2B">
              <w:t>300</w:t>
            </w:r>
          </w:p>
        </w:tc>
      </w:tr>
      <w:tr w:rsidR="004F0F2B" w:rsidRPr="00F86E99" w:rsidTr="004F0F2B">
        <w:trPr>
          <w:trHeight w:val="157"/>
          <w:jc w:val="center"/>
        </w:trPr>
        <w:tc>
          <w:tcPr>
            <w:tcW w:w="8784" w:type="dxa"/>
            <w:gridSpan w:val="4"/>
            <w:shd w:val="clear" w:color="auto" w:fill="auto"/>
          </w:tcPr>
          <w:p w:rsidR="004F0F2B" w:rsidRPr="00372FF8" w:rsidRDefault="004F0F2B" w:rsidP="00743117">
            <w:pPr>
              <w:jc w:val="right"/>
            </w:pPr>
            <w:r w:rsidRPr="00372FF8">
              <w:t>ИТОГО</w:t>
            </w:r>
          </w:p>
        </w:tc>
        <w:tc>
          <w:tcPr>
            <w:tcW w:w="1276" w:type="dxa"/>
            <w:shd w:val="clear" w:color="auto" w:fill="auto"/>
          </w:tcPr>
          <w:p w:rsidR="004F0F2B" w:rsidRPr="00372FF8" w:rsidRDefault="004F0F2B" w:rsidP="00743117">
            <w:pPr>
              <w:widowControl w:val="0"/>
              <w:suppressAutoHyphens/>
              <w:jc w:val="center"/>
            </w:pPr>
            <w:r w:rsidRPr="00372FF8">
              <w:t>127 800</w:t>
            </w:r>
          </w:p>
        </w:tc>
      </w:tr>
    </w:tbl>
    <w:p w:rsidR="00A26CF1" w:rsidRPr="000E1997" w:rsidRDefault="00A26CF1" w:rsidP="00A26CF1">
      <w:pPr>
        <w:jc w:val="both"/>
        <w:rPr>
          <w:rFonts w:eastAsia="Times New Roman"/>
        </w:rPr>
      </w:pPr>
    </w:p>
    <w:p w:rsidR="00A26CF1" w:rsidRPr="004F7135" w:rsidRDefault="00A26CF1" w:rsidP="00FC1ABB">
      <w:pPr>
        <w:spacing w:line="192" w:lineRule="auto"/>
        <w:jc w:val="both"/>
      </w:pPr>
      <w:r w:rsidRPr="004F7135">
        <w:t>3.1.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 № 2300-1 «О защите прав потребителей»).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 xml:space="preserve">3.2. Товар должен соответствовать требованиям государственных стандартов (ГОСТ), действующих на территории Российской Федерации: 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ГОСТ Р 52770-2016 «Изделия медицинские. Требования безопасности. Методы санитарно-химических и токсикологических испытаний».</w:t>
      </w:r>
    </w:p>
    <w:p w:rsidR="00A26CF1" w:rsidRDefault="00A26CF1" w:rsidP="00FC1ABB">
      <w:pPr>
        <w:spacing w:line="192" w:lineRule="auto"/>
        <w:jc w:val="both"/>
      </w:pPr>
      <w:r w:rsidRPr="004F7135">
        <w:t>ГОСТ ISO 10993-1-2021 «Изделия медицинские. Оценка биологического действия медицинских изделий. Часть 1. Оценка и исследования в процессе менеджмента риска».</w:t>
      </w:r>
    </w:p>
    <w:p w:rsidR="00A26CF1" w:rsidRDefault="00A26CF1" w:rsidP="00FC1ABB">
      <w:pPr>
        <w:spacing w:line="192" w:lineRule="auto"/>
        <w:jc w:val="both"/>
      </w:pPr>
      <w:r>
        <w:t>ГОСТ Р 58235-2018 «Специальные средства при нарушениях функции выделения. Термины и определения. Классификация».</w:t>
      </w:r>
    </w:p>
    <w:p w:rsidR="00A26CF1" w:rsidRPr="004F7135" w:rsidRDefault="00A26CF1" w:rsidP="00FC1ABB">
      <w:pPr>
        <w:spacing w:line="192" w:lineRule="auto"/>
        <w:jc w:val="both"/>
      </w:pPr>
      <w:r>
        <w:t xml:space="preserve">ГОСТ Р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испытаний».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3.3. Товар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3.4.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51632-2021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4. Поставщик обязан: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4.1. Поставлять Товар для Получателей, имеющий действующие регистрационные удостоверения, выданные Федеральной службой по надзору в сфере здравоохранения (в случае, если Товар подлежит регистрации), и (или) декларации о соответствии или сертификат соответствия поставляемого Товара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A26CF1" w:rsidRDefault="00A26CF1" w:rsidP="00FC1ABB">
      <w:pPr>
        <w:spacing w:line="192" w:lineRule="auto"/>
        <w:jc w:val="both"/>
      </w:pPr>
      <w:r w:rsidRPr="004F7135"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A26CF1" w:rsidRDefault="00A26CF1" w:rsidP="00FC1ABB">
      <w:pPr>
        <w:spacing w:line="192" w:lineRule="auto"/>
        <w:jc w:val="both"/>
      </w:pPr>
      <w:r w:rsidRPr="004F7135">
        <w:t>4.2. Осуществлять поставку Товара Получателям путем передачи Товара Получателям или их представителям при представлении ими паспорта и напр</w:t>
      </w:r>
      <w:r>
        <w:t>авления (по форме, утвержденной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приказом Министерства здравоохранения и социального развития Российской Федерации от 21.08.2008 № 439н), выдаваемого Заказчиком.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Товара представителю Получателя.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 xml:space="preserve">4.3. При работе с Получателями обеспечить соблюдение рекомендаций и санитарно-эпидемиологических требований </w:t>
      </w:r>
      <w:proofErr w:type="spellStart"/>
      <w:r w:rsidRPr="004F7135">
        <w:t>Роспотребнадзора</w:t>
      </w:r>
      <w:proofErr w:type="spellEnd"/>
      <w:r w:rsidRPr="004F7135">
        <w:t xml:space="preserve"> и исполнительных органов государственной власти Санкт-Петербурга 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4F7135">
        <w:t>коронавирусной</w:t>
      </w:r>
      <w:proofErr w:type="spellEnd"/>
      <w:r w:rsidRPr="004F7135">
        <w:t xml:space="preserve"> инфекции (COVID-19).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4.4. Обеспечить возможность выдачи Товара в пункте приема Получателей не позднее 1 (одного) дня, следующего за днем поступления Товара в Санкт-Петербург в соответствии с календарным планом. В день, следующий за днем поступления Товара в Санкт-Петербург в соответствии с календарным планом, на пункте (пунктах) приема Получателей (далее – пункт (пункты) приема Получателей) должно находиться достаточное количество Товара для организации бесперебойной выдачи. В дальнейшем в пункте (пунктах) приема Получателей ежедневно должно находиться количество Товара в количестве достаточном для бесперебойной выдачи.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lastRenderedPageBreak/>
        <w:t xml:space="preserve">4.5. Давать справки Получателям по вопросам, связанным с поставкой Товара, а также осуществлять прием заявок на доставку по месту нахождения Получателя в часы работы пункта (пунктов) приема Получателей. Для звонков Получателей должен быть выделен телефонный номер. Информацию о телефонном номере Поставщик должен предоставить Заказчику не позднее </w:t>
      </w:r>
      <w:r w:rsidR="005F4555" w:rsidRPr="004F7135">
        <w:t xml:space="preserve">1 (одного) </w:t>
      </w:r>
      <w:r w:rsidR="005F4555">
        <w:t xml:space="preserve">рабочего дня </w:t>
      </w:r>
      <w:r w:rsidR="005F4555" w:rsidRPr="004F7135">
        <w:t xml:space="preserve">с даты заключения </w:t>
      </w:r>
      <w:r w:rsidR="005F4555">
        <w:t>государственного контракта</w:t>
      </w:r>
      <w:r w:rsidRPr="004F7135">
        <w:t>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4.6. Вести аудиозаписи телефонных разговоров с Получателями по вопросам получения Товара. По требованию Заказчика Поставщик обязан предоставлять такие аудиозаписи. Вести журнал телефонных звонков из реестра Получателей Товара (передается Заказчиком по мере формирования) с пометкой о времени звонка, результате звонка и выборе Получателями способа, места и времени доставки Товара.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Предоставлять Заказчику в рамках подтверждения исполнения государственного контракта журнал телефонных звонков. Информировать Заказчика о невозможности предоставления Товара Получателю не позднее дня, следующего за днем доставки, согласованным с Получателем.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 xml:space="preserve">4.7.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hyperlink r:id="rId5" w:history="1">
        <w:r w:rsidRPr="004F7135">
          <w:rPr>
            <w:rStyle w:val="a3"/>
          </w:rPr>
          <w:t>osp@ro78.fss.ru</w:t>
        </w:r>
      </w:hyperlink>
      <w:r w:rsidRPr="004F7135">
        <w:t xml:space="preserve">, </w:t>
      </w:r>
      <w:hyperlink r:id="rId6" w:history="1">
        <w:r w:rsidRPr="004F7135">
          <w:rPr>
            <w:rStyle w:val="a3"/>
          </w:rPr>
          <w:t>tsrfil31@ro78.fss.ru</w:t>
        </w:r>
      </w:hyperlink>
      <w:r w:rsidRPr="004F7135">
        <w:t>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 xml:space="preserve">4.8. В случае привлечения к исполнению контракта соисполнителя в срок не позднее </w:t>
      </w:r>
      <w:r w:rsidR="005F4555" w:rsidRPr="004F7135">
        <w:t xml:space="preserve">1 (одного) </w:t>
      </w:r>
      <w:r w:rsidR="005F4555">
        <w:t xml:space="preserve">рабочего дня </w:t>
      </w:r>
      <w:r w:rsidR="005F4555" w:rsidRPr="004F7135">
        <w:t xml:space="preserve">с даты заключения </w:t>
      </w:r>
      <w:r w:rsidR="005F4555">
        <w:t>государственного контракта</w:t>
      </w:r>
      <w:r w:rsidRPr="004F7135">
        <w:t xml:space="preserve">, предоставить Заказчику данные о соисполнителе: 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наименование, фирменное наименование (при наличии), место нахождения, почтовый адрес (для юридического лица);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фамилия, имя, отчество (при наличии), паспортные данные, место жительства (для физического лица);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номер контактного телефона;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адрес электронной почты;</w:t>
      </w:r>
    </w:p>
    <w:p w:rsidR="00A26CF1" w:rsidRDefault="00A26CF1" w:rsidP="00FC1ABB">
      <w:pPr>
        <w:spacing w:line="192" w:lineRule="auto"/>
        <w:jc w:val="both"/>
      </w:pPr>
      <w:r w:rsidRPr="004F7135"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перечень операций, выполняемых соисполнителем в рамках контракта;</w:t>
      </w:r>
    </w:p>
    <w:p w:rsidR="00A26CF1" w:rsidRDefault="00A26CF1" w:rsidP="00FC1ABB">
      <w:pPr>
        <w:spacing w:line="192" w:lineRule="auto"/>
        <w:jc w:val="both"/>
      </w:pPr>
      <w:r w:rsidRPr="004F7135">
        <w:t xml:space="preserve">срок </w:t>
      </w:r>
      <w:proofErr w:type="spellStart"/>
      <w:r w:rsidRPr="004F7135">
        <w:t>соисполнительства</w:t>
      </w:r>
      <w:proofErr w:type="spellEnd"/>
      <w:r w:rsidRPr="004F7135">
        <w:t>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В случае привлечения соисполнителя во время исполнения контракта предоставить вышеперечисленные сведения в срок не позднее 1 (одного) рабочего дня со дня заключения договора между Поставщиком и соисполнителем.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При досрочном расторжении договора между Поставщиком и соисполнителем Поставщик должен уведомить об этом Заказчика в срок не позднее 1 (одного) рабочего дня со дня расторжения такого договора.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hyperlink r:id="rId7" w:history="1">
        <w:r w:rsidRPr="004F7135">
          <w:rPr>
            <w:rStyle w:val="a3"/>
          </w:rPr>
          <w:t>osp@ro78.fss.ru</w:t>
        </w:r>
      </w:hyperlink>
      <w:r w:rsidRPr="004F7135">
        <w:t xml:space="preserve">. 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5. Способ поставки: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5.1. Поставщик передает Получателям Товар следующими способами: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- в пункте (пунктах) приема Получателей, организованных Поставщиком.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Поставщик обязан предоставлять Получателям право выбора способа получения Товара.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Доставка Товара по месту жительства (месту пребывания, фактического проживания) Получателя в том числе службой доставки (почтовым отправлением) осуществляется за счет собственных средств Поставщика.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5.2. В целях реализации возможности получения Товара Получателем через пункт (пункты) приема Получателей и недопущения длительного ожидания в очереди при получении Товара Поставщик должен ор</w:t>
      </w:r>
      <w:r>
        <w:t>ганизовать не менее 3 (трех</w:t>
      </w:r>
      <w:r w:rsidRPr="004F7135">
        <w:t xml:space="preserve">) пунктов приема Получателей в срок не позднее </w:t>
      </w:r>
      <w:r w:rsidR="00B91F29" w:rsidRPr="004F7135">
        <w:t xml:space="preserve">1 (одного) </w:t>
      </w:r>
      <w:r w:rsidR="00B91F29">
        <w:t xml:space="preserve">рабочего дня </w:t>
      </w:r>
      <w:r w:rsidR="00B91F29" w:rsidRPr="004F7135">
        <w:t xml:space="preserve">с даты заключения </w:t>
      </w:r>
      <w:r w:rsidR="00B91F29">
        <w:t>государственного контракта</w:t>
      </w:r>
      <w:r w:rsidRPr="004F7135">
        <w:t>, которые должны действовать до конца выдачи Товара, согласно условиям государственного контракта. Пункты приема Получателей должны быть организованы в различных районах Санкт-Петербурга. Каждый пункт приема Получателей должен быть организован на территории Санкт-Петербурга в пешей доступности от станции метрополитена (под пешей доступностью, в силу п. 11.24. СП 42.13330.2016 «Градостроительство. Планировка и застройка городских и сельских поселений. Актуализированная редакция СНиП 2.07.01-89», принимается расстояние в 500 метров).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lastRenderedPageBreak/>
        <w:t>В связи с отсутствием указания на конкретный вид транспорта в п. 11.24 СП 42.13330.2016 для однозначного толкования всеми участниками закупки Заказчик определил термин «остановка общественного транспорта» станцию метрополитена. Метрополитен является наиболее удобным и разветвленным видом транспорта в городе Санкт-Петербург, обеспечивающим безопасную и комфортную перевозку пассажиров всех категорий, в том числе отвечающую требованиям по обеспечению доступа инвалидов и иных маломобильных граждан.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 xml:space="preserve">В соответствии с </w:t>
      </w:r>
      <w:hyperlink r:id="rId8" w:history="1">
        <w:r w:rsidRPr="004F7135">
          <w:rPr>
            <w:rStyle w:val="a3"/>
          </w:rPr>
          <w:t>частью 2 статьи 12</w:t>
        </w:r>
      </w:hyperlink>
      <w:r w:rsidRPr="004F7135">
        <w:t xml:space="preserve"> Федерального закона от 30.12.2009 №384-ФЗ «Технический регламент о безопасности зданий и сооружений» </w:t>
      </w:r>
      <w:r w:rsidRPr="004F7135">
        <w:br/>
        <w:t>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В городе Санкт-Петербург таким объектом транспортной инфраструктуры, отвечающим установленным требованиям, является метрополитен.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 xml:space="preserve">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Санкт-Петербурга. 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 xml:space="preserve">Не позднее </w:t>
      </w:r>
      <w:r w:rsidR="005C2651" w:rsidRPr="004F7135">
        <w:t xml:space="preserve">1 (одного) </w:t>
      </w:r>
      <w:r w:rsidR="005C2651">
        <w:t xml:space="preserve">рабочего дня </w:t>
      </w:r>
      <w:r w:rsidR="005C2651" w:rsidRPr="004F7135">
        <w:t xml:space="preserve">с даты заключения </w:t>
      </w:r>
      <w:r w:rsidR="005C2651">
        <w:t>государственного контракта</w:t>
      </w:r>
      <w:r w:rsidR="005C2651" w:rsidRPr="004F7135">
        <w:t xml:space="preserve"> </w:t>
      </w:r>
      <w:r w:rsidRPr="004F7135">
        <w:t>Поставщик должен предоставить Заказчику информацию об адресе пункта (пунктов) приема Получателей, графике работы пункта (пунктов) приема Получателей, контактном телефоне.</w:t>
      </w:r>
    </w:p>
    <w:p w:rsidR="00A26CF1" w:rsidRDefault="00A26CF1" w:rsidP="00FC1ABB">
      <w:pPr>
        <w:spacing w:line="192" w:lineRule="auto"/>
        <w:jc w:val="both"/>
      </w:pPr>
      <w:r w:rsidRPr="004F7135">
        <w:t xml:space="preserve">Не позднее </w:t>
      </w:r>
      <w:r w:rsidR="005C2651" w:rsidRPr="004F7135">
        <w:t xml:space="preserve">1 (одного) </w:t>
      </w:r>
      <w:r w:rsidR="005C2651">
        <w:t xml:space="preserve">рабочего дня </w:t>
      </w:r>
      <w:r w:rsidR="005C2651" w:rsidRPr="004F7135">
        <w:t xml:space="preserve">с даты заключения </w:t>
      </w:r>
      <w:r w:rsidR="005C2651">
        <w:t>государственного контракта</w:t>
      </w:r>
      <w:r w:rsidR="005C2651" w:rsidRPr="004F7135">
        <w:t xml:space="preserve"> </w:t>
      </w:r>
      <w:r w:rsidRPr="004F7135">
        <w:t>Поставщик передает Заказчику копии документов, подтверждающих право Поставщика использовать помещения пункта (пунктов) приема Получателей, заверенные Поставщиком надлежащим образом. Документы должны быть предоставлены на бумажном носителе сопроводительным письмом с приложением.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5.3. Поставщик обязан предоставить доступное для людей с инвалидностью помещение под размещение пункта (пунктов) приема получателей в с</w:t>
      </w:r>
      <w:r>
        <w:t xml:space="preserve">оответствии со статьей </w:t>
      </w:r>
      <w:r w:rsidRPr="004F7135">
        <w:t>15 Федерального закона от 24.11.1995 № 181 «О социальной защите инвалидов в Российской Федерации.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Вход в каждый пункт (пункты) приема Получателей должен быть обозначен надписью (например, "Пункт приема получателей ТСР для инвалидов"), позволяющей однозначно определить место нахождения указанного пункта (пунктов) Получателей. Проход в пункт (пункты) приема Получателей и передвижение по ним должны быть беспрепятственны для инвалидов (в случае необходимости, пункты приема Получателей должны быть оборудованы пандусами для облегчения передвижения инвалидов и соответствовать требованиям СП 59.13330.2020 «Доступность зданий и сооружений для маломобильных групп населения». Поставщиком должна быть обеспечена возможность самостоятельного передвижения инвалидов по территории пункта (пунктов) приема Получателей, в том числе с помощью его работников, а также сменного кресла-коляски.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 xml:space="preserve">Входная группа 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При перепадах высот Поставщик должен учитывать наличие следующих элементов: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- Пандус</w:t>
      </w:r>
      <w:r w:rsidR="005C2651">
        <w:t xml:space="preserve"> с поручнями </w:t>
      </w:r>
      <w:r w:rsidRPr="004F7135">
        <w:t>(в соответствии с п. 5.1.14 – п. 5.1.16; п. 6.1.2 – п. 6.1.4; п. 6.2.9 – п. 6.2.11 СП 59.13330.2020);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Пандус должен иметь нормативный угол наклона, непрерывное двухстороннее ограждение с поручнями шириной не более 0,9-1,0 метра, высотой нижних поручней 0,7 м, а верхних 0,9 м.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- Лестница с поручнями;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 xml:space="preserve">Вдоль обеих сторон всех пандусов и открытых лестниц необходимо устанавливать ограждения с поручнями. Поручни следует располагать на высоте 0,9 м (в соответствии с п. 6.2.11 СП 59.13330.2020). 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59.13330.2020).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Применение для инвалидов вместо пандусов аппарелей не допускается на объекте (в соответствии с п. 6.1.2 СП 59.13330.2020).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6.1.6, п.6.2.4 СП 59.13330.2020).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- Тактильно-контрастные указатели;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указатели. (в соответствии с п. 5.1.10 СП 59.13330.2020).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Пути движения внутри пункта (пунктов) приема Получателей.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При перепадах высот Поставщик должен учитывать наличие следующих элементов: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 xml:space="preserve">- Лифт, подъемная платформа, эскалатор (в соответствии с п. 6.2.13 – п. 6.2.18 СП 59.13330.2020). 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Лифт должен иметь габариты не менее 1100х1400 мм (ширина х глубина).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- Лестницы необходимо обеспечить противоскользящими контрастными полосами общей шириной 0,08-0,1м (в соответствии с п. 6.2.8 СП 59.13330.2020).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lastRenderedPageBreak/>
        <w:t>- Необходимо обеспечить зону досягаемости для посетителей в кресле-коляске в пределах, установленных в соответствии с п. 8.1.7 СП.59.133330.2020.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- Помещение пункта (пунктов) приема Получателей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A26CF1" w:rsidRDefault="00A26CF1" w:rsidP="00FC1ABB">
      <w:pPr>
        <w:spacing w:line="192" w:lineRule="auto"/>
        <w:jc w:val="both"/>
      </w:pPr>
      <w:r w:rsidRPr="004F7135">
        <w:t>- Ширина дверных полотен, открытых проемов в стене на путях движения внутри пункта (пунктов) приема Получателей должна быть не менее 0,9 м. Дверные проемы не должны иметь порогов более 0,014 м (в соответствии с п. 6.2.4 СП 59.13330.2020).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 xml:space="preserve">- </w:t>
      </w:r>
      <w:proofErr w:type="gramStart"/>
      <w:r w:rsidRPr="004F7135">
        <w:t>В</w:t>
      </w:r>
      <w:proofErr w:type="gramEnd"/>
      <w:r w:rsidRPr="004F7135">
        <w:t xml:space="preserve"> целях безопасности, участки пола на путях движения человека с инвалидностью должны быть оснащены тактильно-контрастными предупреждающими указателями (в соответствии с п.6.2.3 СП 59.13330.2020).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Пути эвакуации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 xml:space="preserve">В случае невозможности соблюдения положений ч.15 ст.89 </w:t>
      </w:r>
      <w:hyperlink r:id="rId9" w:history="1">
        <w:r w:rsidRPr="004F7135">
          <w:rPr>
            <w:rStyle w:val="a3"/>
          </w:rPr>
          <w:t>Федерального закона от 22.07.2008 N 123-ФЗ «Технический регламент о требованиях пожарной безопасности</w:t>
        </w:r>
      </w:hyperlink>
      <w:r w:rsidRPr="004F7135"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 «Доступность зданий и сооружений для маломобильных групп населения».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Пути эвакуации помещений пункта (пунктов) приема Получателей должны обеспечивать безопасность посетителей в соответствии с п.6.2.19-п.6.2.32 СП 59.13330.2020.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Обеспечить систему двухсторонней связи с диспетчером или дежурным (в соответствии с п. 6.5.8 СП 59.13330.2020).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 xml:space="preserve">5.4. На территории пункта приема Получателей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 (с Поправкой, с Изменениями N 1, 2, 3), со свободным доступом Получателей. При чем не менее 1 (одной) оборудованной для посещения инвалидами в соответствии с п. 6.3.3, 6.3.6, 6.3.9 </w:t>
      </w:r>
      <w:hyperlink r:id="rId10" w:history="1">
        <w:r w:rsidRPr="004F7135">
          <w:rPr>
            <w:rStyle w:val="a3"/>
          </w:rPr>
          <w:t>СП 59.13330.2020 «Доступность зданий и сооружений для маломобильных групп населения»</w:t>
        </w:r>
      </w:hyperlink>
      <w:r w:rsidRPr="004F7135">
        <w:t>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5.5. Пункт(ы) приема Получателей должен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Получателей не позволяет обеспечить достижение указанного показателя, Поставщиком оборудуются дополнительные окна обслуживания.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 xml:space="preserve">5.6.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Получателей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5.7. Товар должен находиться на складе пункта (пунктов) приема Получателей, обеспечивающем его надлежащее хранение. Товар не должен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5.8. Пункт (пункты) приема Получателей должны иметь следующие условия доступности в соответствии с Приказом Министерства труда и социальной защиты РФ от 30 июля 2015 г. N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- возможность беспрепятственного входа в объекты и выхода из них;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4F7135">
        <w:t>ассистивных</w:t>
      </w:r>
      <w:proofErr w:type="spellEnd"/>
      <w:r w:rsidRPr="004F7135">
        <w:t xml:space="preserve"> и вспомогательных технологий, а также сменного кресла-коляски;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- содействие получателю при входе в объект и выходе из него, информирование получателя о доступных маршрутах общественного транспорта;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- надлежащее размещение носителей информации, необходимой для обеспечения беспрепятственного доступа получателя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26CF1" w:rsidRDefault="00A26CF1" w:rsidP="00FC1ABB">
      <w:pPr>
        <w:spacing w:line="192" w:lineRule="auto"/>
        <w:jc w:val="both"/>
      </w:pPr>
      <w:r w:rsidRPr="004F7135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lastRenderedPageBreak/>
        <w:t>июня 2015 г. N 386н (зарегистрирован Министерством юстиции Российской Федерации 21 июля 2015 г., регистрационный N 38115).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 xml:space="preserve">5.9. Заказчик вправе предоставить Поставщику без взимания платы помещение для организации пункта приема Получателей. Поставщик обязан организовать выдачу Товара в предложенном пункте приема Получателей.  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6. В случае выбора Получателем способа получения Товара по месту нахождения пункта (пунктов) приема Получателей, организованных Поставщиком, передача Товара Получателю осуществляется в день обращения Получателя в пункт(-ы) приема Получателей с направлением. На отрывном талоне направления Поставщик в обязательном порядке проставляет дату обращения Получателя.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 xml:space="preserve">6.1. Передача Товара Получателям должна производиться в каждом из пунктов приема Получателей не менее 6 (шести) дней неделю, не менее 40 (сорока) часов в неделю, при этом, время работы должно быть в интервале с 08:00 до 22:00. 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 xml:space="preserve">6.2. В случае выбора Получателем способа получения Товара путем передачи Товара по месту нахождения Получателя, такая доставка осуществляется Поставщиком в пределах административной границы субъекта, не менее чем с 10:00 до 21:00 не менее 6 (шести) дней неделю, по предварительной записи по телефону, предоставленному Заказчику не позднее 1 (одного) </w:t>
      </w:r>
      <w:r w:rsidR="00E77F92">
        <w:t xml:space="preserve">рабочего дня </w:t>
      </w:r>
      <w:r w:rsidRPr="004F7135">
        <w:t xml:space="preserve">с даты заключения </w:t>
      </w:r>
      <w:r w:rsidR="00E77F92">
        <w:t>государственного контракта.</w:t>
      </w:r>
      <w:r w:rsidRPr="004F7135">
        <w:t xml:space="preserve"> Доставка осуществляется за счет средств Поставщика.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Поставщик обязан информировать Заказчика о невозможности доставки Товара Получателю не позднее дня, следующего за днем доставки, согласованным с Получателем.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>6.3.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 xml:space="preserve">6.4. С целью подтверждения соответствия поставляемого Товара по количеству, комплектности, ассортименту и качеству требованиям, установленным Техническим заданием, Заказчик по своему усмотрению производит сплошную и/или выборочную проверку Товара и соответствия пункта (пунктов) приема Получателей требованиям Технического задания. При проведении проверки Заказчик вправе осуществлять </w:t>
      </w:r>
      <w:proofErr w:type="spellStart"/>
      <w:r w:rsidRPr="004F7135">
        <w:t>фотофиксацию</w:t>
      </w:r>
      <w:proofErr w:type="spellEnd"/>
      <w:r w:rsidRPr="004F7135">
        <w:t xml:space="preserve"> и/или видеозапись.</w:t>
      </w:r>
    </w:p>
    <w:p w:rsidR="00A26CF1" w:rsidRPr="004F7135" w:rsidRDefault="00A26CF1" w:rsidP="00FC1ABB">
      <w:pPr>
        <w:spacing w:line="192" w:lineRule="auto"/>
        <w:jc w:val="both"/>
      </w:pPr>
      <w:r w:rsidRPr="004F7135">
        <w:t xml:space="preserve">6.5. В случаях отказа от Товара Получателя, Поставщик обязан предоставить письменный отказ Получателя, либо акт телефонного разговора. Информация предоставляется на бумажном носителе сопроводительным письмом с приложением и в электронном виде по адресу </w:t>
      </w:r>
      <w:hyperlink r:id="rId11" w:history="1">
        <w:r w:rsidRPr="004F7135">
          <w:rPr>
            <w:rStyle w:val="a3"/>
          </w:rPr>
          <w:t>osp@ro78.fss.ru</w:t>
        </w:r>
      </w:hyperlink>
      <w:r w:rsidRPr="004F7135">
        <w:t xml:space="preserve">, </w:t>
      </w:r>
      <w:hyperlink r:id="rId12" w:history="1">
        <w:r w:rsidRPr="004F7135">
          <w:rPr>
            <w:rStyle w:val="a3"/>
          </w:rPr>
          <w:t>tsrfil31@ro78.fss.ru</w:t>
        </w:r>
      </w:hyperlink>
      <w:r w:rsidRPr="004F7135">
        <w:t>.</w:t>
      </w:r>
    </w:p>
    <w:p w:rsidR="00A26CF1" w:rsidRDefault="00A26CF1" w:rsidP="00FC1ABB">
      <w:pPr>
        <w:spacing w:line="192" w:lineRule="auto"/>
        <w:jc w:val="both"/>
      </w:pPr>
      <w:r w:rsidRPr="004F7135">
        <w:t>7. При проведении экспертизы Товара на соответствие их условиям Технического задания, Поставщик должен предоставить необходимое для проведения экспертизы количество Товара. При этом предоставленное для экспертизы количество Товара не входит в общий объем Товара, предусмотренный Техническим заданием</w:t>
      </w:r>
      <w:r w:rsidRPr="00CC1BD3">
        <w:t>.</w:t>
      </w:r>
    </w:p>
    <w:p w:rsidR="002304A7" w:rsidRDefault="002304A7"/>
    <w:sectPr w:rsidR="002304A7" w:rsidSect="004F0F2B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25622"/>
    <w:multiLevelType w:val="hybridMultilevel"/>
    <w:tmpl w:val="EAEAA766"/>
    <w:lvl w:ilvl="0" w:tplc="857C574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A435ED2"/>
    <w:multiLevelType w:val="hybridMultilevel"/>
    <w:tmpl w:val="628027B2"/>
    <w:lvl w:ilvl="0" w:tplc="46E634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F1"/>
    <w:rsid w:val="002304A7"/>
    <w:rsid w:val="00246F4A"/>
    <w:rsid w:val="00372FF8"/>
    <w:rsid w:val="004958D4"/>
    <w:rsid w:val="004F0F2B"/>
    <w:rsid w:val="005C2651"/>
    <w:rsid w:val="005F4555"/>
    <w:rsid w:val="008E392F"/>
    <w:rsid w:val="00996377"/>
    <w:rsid w:val="00A26CF1"/>
    <w:rsid w:val="00B26DAE"/>
    <w:rsid w:val="00B91F29"/>
    <w:rsid w:val="00E77F92"/>
    <w:rsid w:val="00FC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26C1F-F1A1-4431-A955-913766CA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6C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6C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A3056B590F4FBE5097D7C9B7B22C91F6A78ED32FC9E5DAE6A6BFA07D303BF670416E1AAABB16DCE59A9A1834DC12FFB38F4FD1C807E37SAaA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p@ro78.fss.ru" TargetMode="External"/><Relationship Id="rId12" Type="http://schemas.openxmlformats.org/officeDocument/2006/relationships/hyperlink" Target="mailto:tsrfil31@ro78.f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rfil31@ro78.fss.ru" TargetMode="External"/><Relationship Id="rId11" Type="http://schemas.openxmlformats.org/officeDocument/2006/relationships/hyperlink" Target="mailto:osp@ro78.fss.ru" TargetMode="External"/><Relationship Id="rId5" Type="http://schemas.openxmlformats.org/officeDocument/2006/relationships/hyperlink" Target="mailto:osp@ro78.fss.ru" TargetMode="External"/><Relationship Id="rId10" Type="http://schemas.openxmlformats.org/officeDocument/2006/relationships/hyperlink" Target="https://www.minstroyrf.ru/docs/132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26205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3718</Words>
  <Characters>21195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Александровна</dc:creator>
  <cp:keywords/>
  <dc:description/>
  <cp:lastModifiedBy>Иванова Наталья Александровна</cp:lastModifiedBy>
  <cp:revision>13</cp:revision>
  <dcterms:created xsi:type="dcterms:W3CDTF">2022-09-07T13:49:00Z</dcterms:created>
  <dcterms:modified xsi:type="dcterms:W3CDTF">2022-09-08T13:00:00Z</dcterms:modified>
</cp:coreProperties>
</file>