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0" w:rsidRDefault="00235AD0" w:rsidP="00235AD0">
      <w:pPr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235AD0" w:rsidRDefault="00235AD0" w:rsidP="00235AD0">
      <w:pPr>
        <w:jc w:val="center"/>
        <w:rPr>
          <w:b/>
        </w:rPr>
      </w:pPr>
    </w:p>
    <w:p w:rsidR="00235AD0" w:rsidRPr="00D209C8" w:rsidRDefault="0055700D" w:rsidP="00235AD0">
      <w:pPr>
        <w:jc w:val="center"/>
        <w:rPr>
          <w:b/>
        </w:rPr>
      </w:pPr>
      <w:r w:rsidRPr="0055700D">
        <w:rPr>
          <w:b/>
        </w:rPr>
        <w:t>«</w:t>
      </w:r>
      <w:r w:rsidR="001F0782" w:rsidRPr="001F0782">
        <w:rPr>
          <w:b/>
        </w:rPr>
        <w:t xml:space="preserve">Поставка инвалидам Ростовской области </w:t>
      </w:r>
      <w:proofErr w:type="spellStart"/>
      <w:r w:rsidR="001F0782" w:rsidRPr="001F0782">
        <w:rPr>
          <w:b/>
        </w:rPr>
        <w:t>противопролежневых</w:t>
      </w:r>
      <w:proofErr w:type="spellEnd"/>
      <w:r w:rsidR="001F0782" w:rsidRPr="001F0782">
        <w:rPr>
          <w:b/>
        </w:rPr>
        <w:t xml:space="preserve"> изделий</w:t>
      </w:r>
      <w:r w:rsidRPr="0055700D">
        <w:rPr>
          <w:b/>
        </w:rPr>
        <w:t>».</w:t>
      </w:r>
    </w:p>
    <w:p w:rsidR="009875C7" w:rsidRDefault="009875C7" w:rsidP="009875C7"/>
    <w:tbl>
      <w:tblPr>
        <w:tblpPr w:leftFromText="180" w:rightFromText="180" w:vertAnchor="text" w:tblpY="1"/>
        <w:tblOverlap w:val="never"/>
        <w:tblW w:w="4944" w:type="pct"/>
        <w:tblLayout w:type="fixed"/>
        <w:tblLook w:val="04A0" w:firstRow="1" w:lastRow="0" w:firstColumn="1" w:lastColumn="0" w:noHBand="0" w:noVBand="1"/>
      </w:tblPr>
      <w:tblGrid>
        <w:gridCol w:w="1525"/>
        <w:gridCol w:w="4395"/>
        <w:gridCol w:w="852"/>
        <w:gridCol w:w="1136"/>
        <w:gridCol w:w="1556"/>
      </w:tblGrid>
      <w:tr w:rsidR="00E748A7" w:rsidTr="00E748A7">
        <w:trPr>
          <w:trHeight w:val="956"/>
        </w:trPr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5C7" w:rsidRDefault="009875C7" w:rsidP="0084370B">
            <w:pPr>
              <w:spacing w:after="0"/>
            </w:pPr>
            <w:r>
              <w:t>Наименование товара модель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 w:rsidP="0084370B">
            <w:pPr>
              <w:spacing w:after="0"/>
            </w:pPr>
            <w:r>
              <w:t>Описание функциональных и технических характеристик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 w:rsidP="0084370B">
            <w:pPr>
              <w:spacing w:after="0"/>
            </w:pPr>
            <w:r>
              <w:t>Кол-во</w:t>
            </w:r>
          </w:p>
          <w:p w:rsidR="009875C7" w:rsidRDefault="009875C7" w:rsidP="0084370B">
            <w:pPr>
              <w:spacing w:after="0"/>
            </w:pPr>
            <w:r>
              <w:t>(шт.)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E748A7" w:rsidRDefault="009875C7" w:rsidP="0084370B">
            <w:pPr>
              <w:spacing w:after="0"/>
              <w:rPr>
                <w:sz w:val="20"/>
                <w:szCs w:val="20"/>
              </w:rPr>
            </w:pPr>
            <w:r w:rsidRPr="00E748A7">
              <w:rPr>
                <w:sz w:val="20"/>
                <w:szCs w:val="20"/>
              </w:rPr>
              <w:t>Цена</w:t>
            </w:r>
          </w:p>
          <w:p w:rsidR="009875C7" w:rsidRPr="00E748A7" w:rsidRDefault="009875C7" w:rsidP="0084370B">
            <w:pPr>
              <w:spacing w:after="0"/>
              <w:rPr>
                <w:sz w:val="20"/>
                <w:szCs w:val="20"/>
              </w:rPr>
            </w:pPr>
            <w:r w:rsidRPr="00E748A7">
              <w:rPr>
                <w:sz w:val="20"/>
                <w:szCs w:val="20"/>
              </w:rPr>
              <w:t>за ед.</w:t>
            </w:r>
            <w:r w:rsidR="00911D83" w:rsidRPr="00E748A7">
              <w:rPr>
                <w:sz w:val="20"/>
                <w:szCs w:val="20"/>
              </w:rPr>
              <w:t xml:space="preserve"> не более</w:t>
            </w:r>
          </w:p>
          <w:p w:rsidR="009875C7" w:rsidRPr="00E748A7" w:rsidRDefault="009875C7" w:rsidP="0084370B">
            <w:pPr>
              <w:spacing w:after="0"/>
              <w:rPr>
                <w:sz w:val="20"/>
                <w:szCs w:val="20"/>
              </w:rPr>
            </w:pPr>
            <w:r w:rsidRPr="00E748A7">
              <w:rPr>
                <w:sz w:val="20"/>
                <w:szCs w:val="20"/>
              </w:rPr>
              <w:t>(руб.)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Pr="00E748A7" w:rsidRDefault="009875C7" w:rsidP="0084370B">
            <w:pPr>
              <w:spacing w:after="0"/>
              <w:rPr>
                <w:sz w:val="20"/>
                <w:szCs w:val="20"/>
              </w:rPr>
            </w:pPr>
            <w:r w:rsidRPr="00E748A7">
              <w:rPr>
                <w:sz w:val="20"/>
                <w:szCs w:val="20"/>
              </w:rPr>
              <w:t xml:space="preserve">Суммарная стоимость </w:t>
            </w:r>
            <w:r w:rsidR="00911D83" w:rsidRPr="00E748A7">
              <w:rPr>
                <w:sz w:val="20"/>
                <w:szCs w:val="20"/>
              </w:rPr>
              <w:t xml:space="preserve"> не более </w:t>
            </w:r>
            <w:r w:rsidRPr="00E748A7">
              <w:rPr>
                <w:sz w:val="20"/>
                <w:szCs w:val="20"/>
              </w:rPr>
              <w:t>(руб.)</w:t>
            </w:r>
          </w:p>
        </w:tc>
      </w:tr>
      <w:tr w:rsidR="00E748A7" w:rsidTr="00E748A7">
        <w:trPr>
          <w:trHeight w:val="1124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84370B">
            <w:pPr>
              <w:spacing w:after="0"/>
            </w:pPr>
            <w:proofErr w:type="spellStart"/>
            <w:r w:rsidRPr="00DA03FA">
              <w:t>Противопролежневый</w:t>
            </w:r>
            <w:proofErr w:type="spellEnd"/>
            <w:r w:rsidRPr="00DA03FA">
              <w:t xml:space="preserve"> матрац воздушный (с компрессором)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E776D3" w:rsidRDefault="00DA03FA" w:rsidP="0084370B">
            <w:pPr>
              <w:widowControl w:val="0"/>
              <w:snapToGrid w:val="0"/>
              <w:spacing w:after="0"/>
              <w:ind w:left="31"/>
            </w:pP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матрац </w:t>
            </w:r>
            <w:r w:rsidRPr="00E776D3">
              <w:rPr>
                <w:b/>
              </w:rPr>
              <w:t>(модель, страна происхождения)</w:t>
            </w:r>
            <w:r w:rsidRPr="00E776D3">
              <w:t xml:space="preserve">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круглосуточном режиме ухода за инвалидом. </w:t>
            </w:r>
            <w:proofErr w:type="spellStart"/>
            <w:proofErr w:type="gramStart"/>
            <w:r w:rsidRPr="00E776D3">
              <w:t>Противопролежневый</w:t>
            </w:r>
            <w:proofErr w:type="spellEnd"/>
            <w:r w:rsidRPr="00E776D3">
              <w:t xml:space="preserve"> матрац  должен обеспечивать инвалиду опору при низком контактном давлении с помощью</w:t>
            </w:r>
            <w:r w:rsidR="00197688">
              <w:t xml:space="preserve"> отдельных групп надувных камер</w:t>
            </w:r>
            <w:r w:rsidRPr="00E776D3">
              <w:t xml:space="preserve">, плавно </w:t>
            </w:r>
            <w:proofErr w:type="spellStart"/>
            <w:r w:rsidRPr="00E776D3">
              <w:t>сдувающихся</w:t>
            </w:r>
            <w:proofErr w:type="spellEnd"/>
            <w:r w:rsidRPr="00E776D3"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  <w:r w:rsidRPr="00E776D3">
              <w:t xml:space="preserve"> Наполняемость внутреннего объема должен быть – воздух.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должна быть - не менее 120 кг. Ячеистый матрац (камеры разделены на ячейки) должны иметь не менее 130 воздушных ячеек. Габаритные размеры </w:t>
            </w:r>
            <w:proofErr w:type="spellStart"/>
            <w:r w:rsidRPr="00E776D3">
              <w:t>противопролежневых</w:t>
            </w:r>
            <w:proofErr w:type="spellEnd"/>
            <w:r w:rsidRPr="00E776D3">
              <w:t xml:space="preserve"> матрацев в рабочем состоянии должны быть:  </w:t>
            </w:r>
            <w:r w:rsidRPr="00E776D3">
              <w:lastRenderedPageBreak/>
              <w:t>Длина: не менее 1800 мм.  Ширина: не менее 900 мм.  Толщина: менее 70 мм.</w:t>
            </w:r>
          </w:p>
          <w:p w:rsidR="00ED0BDC" w:rsidRPr="00ED0BDC" w:rsidRDefault="00DA03FA" w:rsidP="0084370B">
            <w:pPr>
              <w:spacing w:after="0"/>
              <w:rPr>
                <w:b/>
                <w:sz w:val="16"/>
                <w:szCs w:val="16"/>
              </w:rPr>
            </w:pPr>
            <w:r w:rsidRPr="00ED0BDC">
              <w:rPr>
                <w:kern w:val="2"/>
              </w:rPr>
              <w:t>Должно быть</w:t>
            </w:r>
            <w:r w:rsidRPr="00E776D3">
              <w:rPr>
                <w:kern w:val="2"/>
              </w:rPr>
              <w:t xml:space="preserve"> Соответствие ГОСТ </w:t>
            </w:r>
            <w:proofErr w:type="gramStart"/>
            <w:r w:rsidRPr="00E776D3">
              <w:rPr>
                <w:kern w:val="2"/>
              </w:rPr>
              <w:t>Р</w:t>
            </w:r>
            <w:proofErr w:type="gramEnd"/>
            <w:r w:rsidRPr="00E776D3">
              <w:rPr>
                <w:kern w:val="2"/>
              </w:rPr>
              <w:t xml:space="preserve"> </w:t>
            </w:r>
            <w:r w:rsidR="001E4E17">
              <w:rPr>
                <w:kern w:val="2"/>
              </w:rPr>
              <w:t xml:space="preserve"> </w:t>
            </w:r>
            <w:r w:rsidRPr="00E776D3">
              <w:rPr>
                <w:kern w:val="2"/>
              </w:rPr>
              <w:t>50267.0-92 "Изделия медицинские электрические. Часть 1. Общие требования безопасности"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2F3FB7" w:rsidP="0084370B">
            <w:pPr>
              <w:spacing w:after="0"/>
            </w:pPr>
            <w:r>
              <w:lastRenderedPageBreak/>
              <w:t>395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E748A7" w:rsidP="0084370B">
            <w:pPr>
              <w:spacing w:after="0"/>
            </w:pPr>
            <w:r>
              <w:t>3 560,00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E748A7" w:rsidP="0084370B">
            <w:pPr>
              <w:spacing w:after="0"/>
            </w:pPr>
            <w:r>
              <w:t>1 406 200,00</w:t>
            </w:r>
          </w:p>
        </w:tc>
      </w:tr>
      <w:tr w:rsidR="00E748A7" w:rsidTr="00E748A7">
        <w:trPr>
          <w:trHeight w:val="221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DA03FA" w:rsidP="0084370B">
            <w:pPr>
              <w:spacing w:after="0"/>
            </w:pPr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полиуретановая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E776D3" w:rsidRDefault="00DA03FA" w:rsidP="0084370B">
            <w:pPr>
              <w:tabs>
                <w:tab w:val="left" w:pos="709"/>
              </w:tabs>
              <w:snapToGrid w:val="0"/>
              <w:spacing w:after="0"/>
            </w:pP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r w:rsidRPr="00E776D3">
              <w:rPr>
                <w:b/>
              </w:rPr>
              <w:t>(модель, страна происхождения)</w:t>
            </w:r>
            <w:r w:rsidRPr="00E776D3">
              <w:t xml:space="preserve">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должна обеспечивать комфорт и устойчивое положение для инвалидов, длительно эксплуатирующих кресла-коляски, разгружать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E776D3">
              <w:t>противопролежневой</w:t>
            </w:r>
            <w:proofErr w:type="spellEnd"/>
            <w:r w:rsidRPr="00E776D3">
              <w:t xml:space="preserve"> подушки должен быть – </w:t>
            </w:r>
            <w:proofErr w:type="spellStart"/>
            <w:r w:rsidRPr="00E776D3">
              <w:t>вязкоэластичный</w:t>
            </w:r>
            <w:proofErr w:type="spellEnd"/>
            <w:r w:rsidRPr="00E776D3">
              <w:t xml:space="preserve"> упругий </w:t>
            </w:r>
            <w:proofErr w:type="spellStart"/>
            <w:r w:rsidRPr="00E776D3">
              <w:t>пенополиуретан</w:t>
            </w:r>
            <w:proofErr w:type="spellEnd"/>
            <w:r w:rsidRPr="00E776D3">
              <w:t xml:space="preserve">. </w:t>
            </w:r>
            <w:proofErr w:type="spellStart"/>
            <w:r w:rsidRPr="00E776D3">
              <w:t>Вязкоэластичный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пенополиуретан</w:t>
            </w:r>
            <w:proofErr w:type="spellEnd"/>
            <w:r w:rsidRPr="00E776D3">
              <w:t xml:space="preserve"> за счет эффекта «памяти» должен принимать форму тела сидящего человека и увеличивать площадь опоры. Это должно способствовать уменьшению вертикальной нагрузки на позвоночный столб. Благодаря равномерному распределению 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</w:t>
            </w:r>
            <w:proofErr w:type="gramStart"/>
            <w:r w:rsidRPr="00E776D3">
              <w:t>-п</w:t>
            </w:r>
            <w:proofErr w:type="gramEnd"/>
            <w:r w:rsidRPr="00E776D3">
              <w:t>рофильное основание со стабильной основой и два углубления для задней поверхности бедра. Такая конструкция  должна обеспечивать стабильность положения сидящего и одновременно улучшать его осанку. Максимальная допустимая нагрузка на изделие – не менее 120 кг. Длина: не менее 370 мм; Ширина: не менее 370 мм; Высота: не менее 40 мм.</w:t>
            </w:r>
          </w:p>
          <w:p w:rsidR="00DA03FA" w:rsidRPr="00E776D3" w:rsidRDefault="00DA03FA" w:rsidP="0084370B">
            <w:pPr>
              <w:spacing w:after="0"/>
              <w:rPr>
                <w:b/>
              </w:rPr>
            </w:pPr>
            <w:r w:rsidRPr="00E776D3">
              <w:t xml:space="preserve">Должно </w:t>
            </w:r>
            <w:proofErr w:type="gramStart"/>
            <w:r w:rsidRPr="00E776D3">
              <w:t>быть</w:t>
            </w:r>
            <w:proofErr w:type="gramEnd"/>
            <w:r w:rsidRPr="00E776D3">
              <w:t xml:space="preserve"> С</w:t>
            </w:r>
            <w:r w:rsidR="00E24E7E">
              <w:t>оответствие ГОСТ ISO 10993-1-202</w:t>
            </w:r>
            <w:r w:rsidRPr="00E776D3">
              <w:t xml:space="preserve">1  "Изделия медицинские. </w:t>
            </w:r>
            <w:r w:rsidRPr="00E776D3">
              <w:lastRenderedPageBreak/>
              <w:t xml:space="preserve">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776D3">
              <w:t>цитотоксичность</w:t>
            </w:r>
            <w:proofErr w:type="spellEnd"/>
            <w:r w:rsidRPr="00E776D3">
              <w:t xml:space="preserve">: методы </w:t>
            </w:r>
            <w:proofErr w:type="spellStart"/>
            <w:r w:rsidRPr="00E776D3">
              <w:t>in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vitro</w:t>
            </w:r>
            <w:proofErr w:type="spellEnd"/>
            <w:r w:rsidRPr="00E776D3"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 и токсиколо</w:t>
            </w:r>
            <w:r w:rsidR="00D77AD8">
              <w:t>гических испытаний"</w:t>
            </w:r>
            <w:r w:rsidRPr="00E776D3"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E776D3" w:rsidP="0084370B">
            <w:pPr>
              <w:spacing w:after="0"/>
            </w:pPr>
            <w:r>
              <w:lastRenderedPageBreak/>
              <w:t>1</w:t>
            </w:r>
            <w:r w:rsidR="002F3FB7">
              <w:t>1</w:t>
            </w:r>
            <w: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1E4E17" w:rsidRDefault="00E748A7" w:rsidP="0084370B">
            <w:pPr>
              <w:spacing w:after="0"/>
            </w:pPr>
            <w:r>
              <w:t>1 746,67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BB3942" w:rsidRDefault="00E748A7" w:rsidP="0084370B">
            <w:pPr>
              <w:spacing w:after="0"/>
            </w:pPr>
            <w:r>
              <w:t>192 133,70</w:t>
            </w:r>
          </w:p>
        </w:tc>
      </w:tr>
      <w:tr w:rsidR="00E748A7" w:rsidTr="00E748A7">
        <w:trPr>
          <w:trHeight w:val="239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4370B">
            <w:pPr>
              <w:spacing w:after="0"/>
            </w:pPr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</w:t>
            </w:r>
            <w:proofErr w:type="spellStart"/>
            <w:r w:rsidRPr="00DA03FA">
              <w:t>гелевая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E776D3" w:rsidRDefault="00DA03FA" w:rsidP="0084370B">
            <w:pPr>
              <w:spacing w:after="0"/>
            </w:pP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proofErr w:type="spellStart"/>
            <w:r w:rsidRPr="00E776D3">
              <w:t>гелевая</w:t>
            </w:r>
            <w:proofErr w:type="spellEnd"/>
            <w:r w:rsidRPr="00E776D3">
              <w:t xml:space="preserve"> </w:t>
            </w:r>
            <w:r w:rsidRPr="00E776D3">
              <w:rPr>
                <w:b/>
              </w:rPr>
              <w:t xml:space="preserve">(модель, страна происхождения) </w:t>
            </w:r>
            <w:r w:rsidRPr="00E776D3">
              <w:t xml:space="preserve">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должна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 и иметь поверхность в форме ячеек. Внутренний </w:t>
            </w:r>
            <w:proofErr w:type="spellStart"/>
            <w:r w:rsidRPr="00E776D3">
              <w:t>гелевый</w:t>
            </w:r>
            <w:proofErr w:type="spellEnd"/>
            <w:r w:rsidRPr="00E776D3">
              <w:t xml:space="preserve"> слой должен создавать профилактический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эффект и должен иметь непромокаемое плащевое покрытие. </w:t>
            </w: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proofErr w:type="spellStart"/>
            <w:r w:rsidRPr="00E776D3">
              <w:t>гелевая</w:t>
            </w:r>
            <w:proofErr w:type="spellEnd"/>
            <w:r w:rsidRPr="00E776D3">
              <w:t xml:space="preserve"> должна обеспечивать прохладу и удобство посадочной поверхности, применяться при профилактике первых стадий пролежней, а также для размещения в кресле-коляске и включать в комплектность водонепроницаемый съемный чехол. Максимальная допустимая нагрузка на изделие – не менее 120 кг.  Длина: не менее 370 мм.  </w:t>
            </w:r>
            <w:r w:rsidRPr="00E776D3">
              <w:lastRenderedPageBreak/>
              <w:t>Ширина: не менее 370 мм.  Высота: не менее 40 мм.</w:t>
            </w:r>
          </w:p>
          <w:p w:rsidR="00DA03FA" w:rsidRPr="00E776D3" w:rsidRDefault="00DA03FA" w:rsidP="0084370B">
            <w:pPr>
              <w:spacing w:after="0"/>
              <w:rPr>
                <w:b/>
              </w:rPr>
            </w:pPr>
            <w:r w:rsidRPr="00E776D3">
              <w:t xml:space="preserve">Должно </w:t>
            </w:r>
            <w:proofErr w:type="gramStart"/>
            <w:r w:rsidRPr="00E776D3">
              <w:t>быть</w:t>
            </w:r>
            <w:proofErr w:type="gramEnd"/>
            <w:r w:rsidRPr="00E776D3">
              <w:t xml:space="preserve"> С</w:t>
            </w:r>
            <w:r w:rsidR="00E24E7E">
              <w:t>оответствие ГОСТ ISO 10993-1-202</w:t>
            </w:r>
            <w:r w:rsidRPr="00E776D3">
              <w:t xml:space="preserve">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776D3">
              <w:t>цитотоксичность</w:t>
            </w:r>
            <w:proofErr w:type="spellEnd"/>
            <w:r w:rsidRPr="00E776D3">
              <w:t xml:space="preserve">: методы </w:t>
            </w:r>
            <w:proofErr w:type="spellStart"/>
            <w:r w:rsidRPr="00E776D3">
              <w:t>in</w:t>
            </w:r>
            <w:proofErr w:type="spellEnd"/>
            <w:r w:rsidRPr="00E776D3">
              <w:t xml:space="preserve"> </w:t>
            </w:r>
            <w:proofErr w:type="spellStart"/>
            <w:r w:rsidRPr="00E776D3">
              <w:t>vitro</w:t>
            </w:r>
            <w:proofErr w:type="spellEnd"/>
            <w:r w:rsidRPr="00E776D3">
              <w:t xml:space="preserve"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 и токсикологических испытаний</w:t>
            </w:r>
            <w:r w:rsidR="00D77AD8">
              <w:t>"</w:t>
            </w:r>
            <w:r w:rsidRPr="00E776D3"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2F3FB7" w:rsidP="0084370B">
            <w:pPr>
              <w:spacing w:after="0"/>
            </w:pPr>
            <w:r>
              <w:lastRenderedPageBreak/>
              <w:t>55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E748A7" w:rsidP="0084370B">
            <w:pPr>
              <w:spacing w:after="0"/>
            </w:pPr>
            <w:r>
              <w:t>1 860,00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E748A7" w:rsidP="0084370B">
            <w:pPr>
              <w:spacing w:after="0"/>
            </w:pPr>
            <w:r>
              <w:t>102 300,00</w:t>
            </w:r>
          </w:p>
        </w:tc>
      </w:tr>
      <w:tr w:rsidR="00E748A7" w:rsidTr="00E748A7">
        <w:trPr>
          <w:trHeight w:val="1691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DA03FA" w:rsidP="0084370B">
            <w:pPr>
              <w:spacing w:after="0"/>
            </w:pPr>
            <w:proofErr w:type="spellStart"/>
            <w:r w:rsidRPr="00DA03FA">
              <w:lastRenderedPageBreak/>
              <w:t>Противопролежневая</w:t>
            </w:r>
            <w:proofErr w:type="spellEnd"/>
            <w:r w:rsidRPr="00DA03FA">
              <w:t xml:space="preserve"> подушка воздушная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E776D3" w:rsidRDefault="00DA03FA" w:rsidP="0084370B">
            <w:pPr>
              <w:spacing w:after="0"/>
              <w:rPr>
                <w:b/>
              </w:rPr>
            </w:pPr>
            <w:proofErr w:type="spellStart"/>
            <w:r w:rsidRPr="00E776D3">
              <w:t>Противопролежневая</w:t>
            </w:r>
            <w:proofErr w:type="spellEnd"/>
            <w:r w:rsidRPr="00E776D3">
              <w:t xml:space="preserve"> подушка </w:t>
            </w:r>
            <w:r w:rsidRPr="00E776D3">
              <w:rPr>
                <w:b/>
              </w:rPr>
              <w:t>(модель, страна происхождения)</w:t>
            </w:r>
            <w:r w:rsidRPr="00E776D3">
              <w:t xml:space="preserve">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Подушка соответствует размерам кресла-коляски, обеспечивает защиту спины, копчика и посадочной поверхности. </w:t>
            </w:r>
            <w:proofErr w:type="spellStart"/>
            <w:r w:rsidRPr="00E776D3">
              <w:t>Противопролежневый</w:t>
            </w:r>
            <w:proofErr w:type="spellEnd"/>
            <w:r w:rsidRPr="00E776D3">
              <w:t xml:space="preserve"> эффект достигается за счет снижения давления на участки тела, благодаря внутреннему воздушному слою. Наполнение внутреннего объема </w:t>
            </w:r>
            <w:proofErr w:type="spellStart"/>
            <w:r w:rsidRPr="00E776D3">
              <w:t>противопролежневой</w:t>
            </w:r>
            <w:proofErr w:type="spellEnd"/>
            <w:r w:rsidRPr="00E776D3">
              <w:t xml:space="preserve"> подушки – воздух. Максимальная допустимая нагрузка на изделие – не менее 120 кг. Длина: не менее 400 мм.  Ширина: не м</w:t>
            </w:r>
            <w:r w:rsidR="004A5DEF">
              <w:t>енее 400 мм.  Высота: не менее 6</w:t>
            </w:r>
            <w:r w:rsidRPr="00E776D3">
              <w:t xml:space="preserve">0 мм. Вес изделия не более - 700 г. Должно быть Соответствие ГОСТ </w:t>
            </w:r>
            <w:proofErr w:type="gramStart"/>
            <w:r w:rsidRPr="00E776D3">
              <w:t>Р</w:t>
            </w:r>
            <w:proofErr w:type="gramEnd"/>
            <w:r w:rsidRPr="00E776D3">
              <w:t xml:space="preserve"> 52770-2016 "Изделия медицинские. Требования безопасности. Методы санитарно-химических и </w:t>
            </w:r>
            <w:proofErr w:type="spellStart"/>
            <w:r w:rsidRPr="00E776D3">
              <w:t>токсилогических</w:t>
            </w:r>
            <w:proofErr w:type="spellEnd"/>
            <w:r w:rsidRPr="00E776D3">
              <w:t xml:space="preserve"> испытаний".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A" w:rsidRPr="008A3282" w:rsidRDefault="002F3FB7" w:rsidP="0084370B">
            <w:pPr>
              <w:spacing w:after="0"/>
            </w:pPr>
            <w:r>
              <w:t>110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E748A7" w:rsidP="0084370B">
            <w:pPr>
              <w:spacing w:after="0"/>
            </w:pPr>
            <w:r>
              <w:t>753,33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A" w:rsidRPr="008A3282" w:rsidRDefault="00E748A7" w:rsidP="0084370B">
            <w:pPr>
              <w:spacing w:after="0"/>
            </w:pPr>
            <w:r>
              <w:t>82 866,30</w:t>
            </w:r>
          </w:p>
        </w:tc>
      </w:tr>
      <w:tr w:rsidR="00E748A7" w:rsidTr="00E748A7">
        <w:trPr>
          <w:trHeight w:val="567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 w:rsidP="0084370B">
            <w:pPr>
              <w:spacing w:after="0"/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9875C7" w:rsidP="0084370B">
            <w:pPr>
              <w:spacing w:after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2F3FB7" w:rsidP="0084370B">
            <w:pPr>
              <w:spacing w:after="0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C7" w:rsidRDefault="009875C7" w:rsidP="0084370B">
            <w:pPr>
              <w:spacing w:after="0"/>
              <w:rPr>
                <w:b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C7" w:rsidRDefault="00E748A7" w:rsidP="0084370B">
            <w:pPr>
              <w:spacing w:after="0"/>
              <w:rPr>
                <w:b/>
              </w:rPr>
            </w:pPr>
            <w:r>
              <w:rPr>
                <w:b/>
              </w:rPr>
              <w:t>1 783 500,00</w:t>
            </w:r>
          </w:p>
        </w:tc>
      </w:tr>
    </w:tbl>
    <w:p w:rsidR="00DA03FA" w:rsidRDefault="00DA03FA" w:rsidP="00DA03FA">
      <w:pPr>
        <w:ind w:firstLine="709"/>
      </w:pPr>
      <w:r w:rsidRPr="00FC0F78">
        <w:t>Гарантийный срок не менее 24 месяцев.</w:t>
      </w:r>
    </w:p>
    <w:p w:rsidR="00DA03FA" w:rsidRDefault="00DA03FA" w:rsidP="00DA03FA">
      <w:pPr>
        <w:shd w:val="clear" w:color="auto" w:fill="FFFFFF"/>
        <w:autoSpaceDE w:val="0"/>
      </w:pPr>
      <w:r>
        <w:tab/>
      </w:r>
      <w:r w:rsidRPr="00A3596D">
        <w:t xml:space="preserve">Срок службы технического средства реабилитации имеет срок пользования, утвержденного Приказом </w:t>
      </w:r>
      <w:r w:rsidR="00583173" w:rsidRPr="002A355F">
        <w:rPr>
          <w:rFonts w:eastAsia="Calibri"/>
          <w:color w:val="000000"/>
          <w:szCs w:val="22"/>
        </w:rPr>
        <w:t xml:space="preserve">Министерства труда и социальной защиты Российской Федерации </w:t>
      </w:r>
      <w:r w:rsidRPr="00A3596D">
        <w:t xml:space="preserve">от </w:t>
      </w:r>
      <w:r w:rsidR="00583173" w:rsidRPr="002A355F">
        <w:rPr>
          <w:rFonts w:eastAsia="Calibri"/>
          <w:color w:val="000000"/>
          <w:szCs w:val="22"/>
        </w:rPr>
        <w:t xml:space="preserve">05 марта 2021 г. № 107н </w:t>
      </w:r>
      <w:r w:rsidRPr="00A3596D">
        <w:t xml:space="preserve">«Об утверждении сроков пользования </w:t>
      </w:r>
      <w:r w:rsidRPr="00A3596D">
        <w:lastRenderedPageBreak/>
        <w:t>техническими средствами реабилитации, протезами и протезно-ортопедическими изделиями».</w:t>
      </w:r>
    </w:p>
    <w:p w:rsidR="00DA03FA" w:rsidRDefault="00DA03FA" w:rsidP="00DA03FA">
      <w:pPr>
        <w:ind w:firstLine="709"/>
        <w:rPr>
          <w:rFonts w:eastAsia="Calibri"/>
          <w:szCs w:val="23"/>
        </w:rPr>
      </w:pPr>
      <w:r w:rsidRPr="00910595">
        <w:rPr>
          <w:rFonts w:eastAsia="Calibri"/>
          <w:szCs w:val="23"/>
        </w:rPr>
        <w:t>Товар долже</w:t>
      </w:r>
      <w:bookmarkStart w:id="0" w:name="_GoBack"/>
      <w:bookmarkEnd w:id="0"/>
      <w:r w:rsidRPr="00910595">
        <w:rPr>
          <w:rFonts w:eastAsia="Calibri"/>
          <w:szCs w:val="23"/>
        </w:rPr>
        <w:t>н иметь регистрационные удостоверения в соответствии со ст.38 Федеральным законом от 21.11.2011 г. №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E51F72" w:rsidRPr="003D1BF1" w:rsidRDefault="00E51F72" w:rsidP="00E51F72">
      <w:pPr>
        <w:ind w:firstLine="709"/>
      </w:pPr>
      <w:proofErr w:type="gramStart"/>
      <w:r w:rsidRPr="00891EAF">
        <w:t>Место и условия поставки</w:t>
      </w:r>
      <w:r>
        <w:t xml:space="preserve"> – </w:t>
      </w:r>
      <w:r w:rsidRPr="0000735A">
        <w:rPr>
          <w:color w:val="002060"/>
        </w:rPr>
        <w:t xml:space="preserve">предоставить Товар Получателям согласно Реестров получателей товара </w:t>
      </w:r>
      <w:r>
        <w:rPr>
          <w:color w:val="002060"/>
        </w:rPr>
        <w:t>в пределах административных границ субъекта Российской Федерации</w:t>
      </w:r>
      <w:r>
        <w:t xml:space="preserve">:      г. Ростов-на-Дону,  </w:t>
      </w:r>
      <w:proofErr w:type="spellStart"/>
      <w:r>
        <w:t>Мясниковский</w:t>
      </w:r>
      <w:proofErr w:type="spellEnd"/>
      <w:r>
        <w:t xml:space="preserve">,  </w:t>
      </w:r>
      <w:proofErr w:type="spellStart"/>
      <w:r>
        <w:t>Родионово-Несветайский</w:t>
      </w:r>
      <w:proofErr w:type="spellEnd"/>
      <w:r>
        <w:t xml:space="preserve"> районы, г. Аксай, </w:t>
      </w:r>
      <w:proofErr w:type="spellStart"/>
      <w:r>
        <w:t>Аксайский</w:t>
      </w:r>
      <w:proofErr w:type="spellEnd"/>
      <w: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t>Мартыновский</w:t>
      </w:r>
      <w:proofErr w:type="spellEnd"/>
      <w:r>
        <w:t xml:space="preserve"> районы, г. Миллерово, Миллеровский, </w:t>
      </w:r>
      <w:proofErr w:type="spellStart"/>
      <w:r>
        <w:t>Кашарский</w:t>
      </w:r>
      <w:proofErr w:type="spellEnd"/>
      <w:r>
        <w:t xml:space="preserve">, </w:t>
      </w:r>
      <w:proofErr w:type="spellStart"/>
      <w:r>
        <w:t>Чертковский</w:t>
      </w:r>
      <w:proofErr w:type="spellEnd"/>
      <w:r>
        <w:t xml:space="preserve">, В-Донской, Шолоховский, </w:t>
      </w:r>
      <w:proofErr w:type="spellStart"/>
      <w:r>
        <w:t>Боковский</w:t>
      </w:r>
      <w:proofErr w:type="spellEnd"/>
      <w:r>
        <w:t xml:space="preserve"> районы, г. Зерноград, Зерноградский, </w:t>
      </w:r>
      <w:proofErr w:type="spellStart"/>
      <w:r>
        <w:t>Егорлыкский</w:t>
      </w:r>
      <w:proofErr w:type="spellEnd"/>
      <w:r>
        <w:t xml:space="preserve"> районы, Батайск, </w:t>
      </w:r>
      <w:proofErr w:type="spellStart"/>
      <w:r>
        <w:t>Кагальницкий</w:t>
      </w:r>
      <w:proofErr w:type="spellEnd"/>
      <w:r>
        <w:t xml:space="preserve"> район, п. Орловский, Орловский, Пролетарский </w:t>
      </w:r>
      <w:proofErr w:type="spellStart"/>
      <w:r>
        <w:t>районы,.п</w:t>
      </w:r>
      <w:proofErr w:type="spellEnd"/>
      <w:r>
        <w:t>.</w:t>
      </w:r>
      <w:proofErr w:type="gramEnd"/>
      <w:r>
        <w:t xml:space="preserve"> Матвеев-Курган, Матвеево-Курганский, </w:t>
      </w:r>
      <w:proofErr w:type="spellStart"/>
      <w:r>
        <w:t>Неклиновский</w:t>
      </w:r>
      <w:proofErr w:type="spellEnd"/>
      <w:r>
        <w:t xml:space="preserve">, Куйбышевский районы, г. Белая Калитва, </w:t>
      </w:r>
      <w:proofErr w:type="spellStart"/>
      <w:r>
        <w:t>Белокалитвенский,Тацинский</w:t>
      </w:r>
      <w:proofErr w:type="spellEnd"/>
      <w:r>
        <w:t xml:space="preserve"> районы, г. Красный Сулин, </w:t>
      </w:r>
      <w:proofErr w:type="spellStart"/>
      <w:r>
        <w:t>Красносулинский</w:t>
      </w:r>
      <w:proofErr w:type="spellEnd"/>
      <w:r>
        <w:t xml:space="preserve"> ,Октябрьский районы, </w:t>
      </w:r>
      <w:proofErr w:type="spellStart"/>
      <w:r>
        <w:t>г</w:t>
      </w:r>
      <w:proofErr w:type="gramStart"/>
      <w:r>
        <w:t>.В</w:t>
      </w:r>
      <w:proofErr w:type="gramEnd"/>
      <w:r>
        <w:t>олгодонск</w:t>
      </w:r>
      <w:proofErr w:type="spellEnd"/>
      <w:r>
        <w:t xml:space="preserve">,  </w:t>
      </w:r>
      <w:proofErr w:type="spellStart"/>
      <w:r>
        <w:t>Волгодонской</w:t>
      </w:r>
      <w:proofErr w:type="spellEnd"/>
      <w:r>
        <w:t xml:space="preserve">, </w:t>
      </w:r>
      <w:proofErr w:type="spellStart"/>
      <w:r>
        <w:t>Цимлянский</w:t>
      </w:r>
      <w:proofErr w:type="spellEnd"/>
      <w:r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>
        <w:t>Сальский</w:t>
      </w:r>
      <w:proofErr w:type="spellEnd"/>
      <w:r>
        <w:t xml:space="preserve">, </w:t>
      </w:r>
      <w:proofErr w:type="spellStart"/>
      <w:r>
        <w:t>Песчанокопский</w:t>
      </w:r>
      <w:proofErr w:type="spellEnd"/>
      <w:r>
        <w:t xml:space="preserve">, </w:t>
      </w:r>
      <w:proofErr w:type="spellStart"/>
      <w:r>
        <w:t>Целинский</w:t>
      </w:r>
      <w:proofErr w:type="spellEnd"/>
      <w:r>
        <w:t xml:space="preserve"> районы, п. Зимовники, </w:t>
      </w:r>
      <w:proofErr w:type="spellStart"/>
      <w:r>
        <w:t>Зимовниковский</w:t>
      </w:r>
      <w:proofErr w:type="spellEnd"/>
      <w:r>
        <w:t xml:space="preserve">, </w:t>
      </w:r>
      <w:proofErr w:type="spellStart"/>
      <w:r w:rsidRPr="003D1BF1">
        <w:t>Заветинский</w:t>
      </w:r>
      <w:proofErr w:type="spellEnd"/>
      <w:r w:rsidRPr="003D1BF1">
        <w:t xml:space="preserve">, </w:t>
      </w:r>
      <w:proofErr w:type="spellStart"/>
      <w:r w:rsidRPr="003D1BF1">
        <w:t>Дубовский</w:t>
      </w:r>
      <w:proofErr w:type="spellEnd"/>
      <w:r w:rsidRPr="003D1BF1">
        <w:t xml:space="preserve">, </w:t>
      </w:r>
      <w:proofErr w:type="spellStart"/>
      <w:r w:rsidRPr="003D1BF1">
        <w:t>Ремонтненский</w:t>
      </w:r>
      <w:proofErr w:type="spellEnd"/>
      <w:r w:rsidRPr="003D1BF1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3D1BF1">
        <w:t>Милютинский</w:t>
      </w:r>
      <w:proofErr w:type="spellEnd"/>
      <w:r w:rsidRPr="003D1BF1">
        <w:t xml:space="preserve">, </w:t>
      </w:r>
      <w:proofErr w:type="spellStart"/>
      <w:r w:rsidRPr="003D1BF1">
        <w:t>Обливский</w:t>
      </w:r>
      <w:proofErr w:type="spellEnd"/>
      <w:r w:rsidRPr="003D1BF1">
        <w:t xml:space="preserve"> районы, право выбора одного из способа получения Товара: - по месту жительства Получателя; - в пунктах выдачи.</w:t>
      </w:r>
    </w:p>
    <w:p w:rsidR="00E51F72" w:rsidRPr="003D1BF1" w:rsidRDefault="00E51F72" w:rsidP="00E51F72">
      <w:pPr>
        <w:ind w:firstLine="709"/>
        <w:contextualSpacing/>
        <w:rPr>
          <w:u w:val="single"/>
        </w:rPr>
      </w:pPr>
      <w:r w:rsidRPr="003D1BF1">
        <w:t xml:space="preserve">Поставка всей партии товара на территорию Ростовской области на склад Поставщика должна быть осуществлена в течение </w:t>
      </w:r>
      <w:r w:rsidR="0040701E" w:rsidRPr="003D1BF1">
        <w:rPr>
          <w:b/>
        </w:rPr>
        <w:t>10 дней</w:t>
      </w:r>
      <w:r w:rsidRPr="003D1BF1">
        <w:t xml:space="preserve"> с даты подписания Государственного контракта. </w:t>
      </w:r>
      <w:r w:rsidRPr="003D1BF1"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E51F72" w:rsidRPr="003D1BF1" w:rsidRDefault="00E51F72" w:rsidP="00E51F72">
      <w:pPr>
        <w:ind w:firstLine="709"/>
        <w:contextualSpacing/>
        <w:rPr>
          <w:kern w:val="2"/>
        </w:rPr>
      </w:pPr>
      <w:r w:rsidRPr="003D1BF1">
        <w:t xml:space="preserve">Реестры получателей по государственному контракту предоставляются </w:t>
      </w:r>
      <w:r w:rsidRPr="003D1BF1"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E51F72" w:rsidRPr="003D1BF1" w:rsidRDefault="00E51F72" w:rsidP="00E51F72">
      <w:pPr>
        <w:ind w:firstLine="710"/>
      </w:pPr>
      <w:r w:rsidRPr="003D1BF1"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до </w:t>
      </w:r>
      <w:r w:rsidRPr="003D1BF1">
        <w:rPr>
          <w:b/>
        </w:rPr>
        <w:t>1</w:t>
      </w:r>
      <w:r w:rsidR="001E4E17" w:rsidRPr="003D1BF1">
        <w:rPr>
          <w:b/>
        </w:rPr>
        <w:t>4.11</w:t>
      </w:r>
      <w:r w:rsidRPr="003D1BF1">
        <w:rPr>
          <w:b/>
        </w:rPr>
        <w:t>.202</w:t>
      </w:r>
      <w:r w:rsidR="009D6FEC" w:rsidRPr="003D1BF1">
        <w:rPr>
          <w:b/>
        </w:rPr>
        <w:t>2</w:t>
      </w:r>
      <w:r w:rsidRPr="003D1BF1">
        <w:t xml:space="preserve"> года.</w:t>
      </w:r>
    </w:p>
    <w:p w:rsidR="001A28DC" w:rsidRDefault="001A28DC" w:rsidP="009875C7">
      <w:pPr>
        <w:ind w:firstLine="709"/>
        <w:rPr>
          <w:b/>
          <w:bCs/>
          <w:lang w:eastAsia="en-US"/>
        </w:rPr>
      </w:pPr>
    </w:p>
    <w:p w:rsidR="00EA0220" w:rsidRPr="009875C7" w:rsidRDefault="00EA0220" w:rsidP="00E748A7">
      <w:pPr>
        <w:tabs>
          <w:tab w:val="left" w:pos="2910"/>
        </w:tabs>
      </w:pPr>
    </w:p>
    <w:sectPr w:rsidR="00EA0220" w:rsidRPr="0098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0E"/>
    <w:rsid w:val="000840E7"/>
    <w:rsid w:val="000C5572"/>
    <w:rsid w:val="00197688"/>
    <w:rsid w:val="001A28DC"/>
    <w:rsid w:val="001C0918"/>
    <w:rsid w:val="001E4E17"/>
    <w:rsid w:val="001F0782"/>
    <w:rsid w:val="00213CD1"/>
    <w:rsid w:val="00235AD0"/>
    <w:rsid w:val="00247EE1"/>
    <w:rsid w:val="002814AD"/>
    <w:rsid w:val="002D7666"/>
    <w:rsid w:val="002F1A8F"/>
    <w:rsid w:val="002F3FB7"/>
    <w:rsid w:val="00376EB1"/>
    <w:rsid w:val="003A54FB"/>
    <w:rsid w:val="003D1BF1"/>
    <w:rsid w:val="0040701E"/>
    <w:rsid w:val="004311DF"/>
    <w:rsid w:val="004A5DEF"/>
    <w:rsid w:val="0055700D"/>
    <w:rsid w:val="005705AE"/>
    <w:rsid w:val="00583173"/>
    <w:rsid w:val="005E3A0F"/>
    <w:rsid w:val="00613CBB"/>
    <w:rsid w:val="00732538"/>
    <w:rsid w:val="00746FF3"/>
    <w:rsid w:val="00773E50"/>
    <w:rsid w:val="007F0F1A"/>
    <w:rsid w:val="0084370B"/>
    <w:rsid w:val="0086188F"/>
    <w:rsid w:val="008A3282"/>
    <w:rsid w:val="008D4670"/>
    <w:rsid w:val="00903431"/>
    <w:rsid w:val="00911D83"/>
    <w:rsid w:val="00937D0E"/>
    <w:rsid w:val="009875C7"/>
    <w:rsid w:val="009D6FEC"/>
    <w:rsid w:val="009E53E9"/>
    <w:rsid w:val="00A24460"/>
    <w:rsid w:val="00A55CF3"/>
    <w:rsid w:val="00AA5932"/>
    <w:rsid w:val="00AE38E2"/>
    <w:rsid w:val="00AE7F04"/>
    <w:rsid w:val="00AE7F44"/>
    <w:rsid w:val="00BB3942"/>
    <w:rsid w:val="00C00DAA"/>
    <w:rsid w:val="00C6543E"/>
    <w:rsid w:val="00C761A8"/>
    <w:rsid w:val="00D22CC1"/>
    <w:rsid w:val="00D76771"/>
    <w:rsid w:val="00D77AD8"/>
    <w:rsid w:val="00DA03FA"/>
    <w:rsid w:val="00E24E7E"/>
    <w:rsid w:val="00E51F72"/>
    <w:rsid w:val="00E748A7"/>
    <w:rsid w:val="00E776D3"/>
    <w:rsid w:val="00EA0220"/>
    <w:rsid w:val="00ED0BDC"/>
    <w:rsid w:val="00EF65D9"/>
    <w:rsid w:val="00F3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875C7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9875C7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846E-5121-460B-AE75-B2104DD5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Александровна</dc:creator>
  <cp:lastModifiedBy>Чистова Анастасия Сергеевна</cp:lastModifiedBy>
  <cp:revision>5</cp:revision>
  <cp:lastPrinted>2022-02-28T13:16:00Z</cp:lastPrinted>
  <dcterms:created xsi:type="dcterms:W3CDTF">2022-05-24T08:39:00Z</dcterms:created>
  <dcterms:modified xsi:type="dcterms:W3CDTF">2022-05-30T07:19:00Z</dcterms:modified>
</cp:coreProperties>
</file>