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19E3" w:rsidRPr="008E19E3">
        <w:rPr>
          <w:rFonts w:ascii="Times New Roman" w:hAnsi="Times New Roman" w:cs="Times New Roman"/>
          <w:b/>
          <w:sz w:val="26"/>
          <w:szCs w:val="26"/>
          <w:lang w:eastAsia="ru-RU"/>
        </w:rPr>
        <w:t>квартале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2023 года.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</w:t>
      </w:r>
      <w:r w:rsidR="008E19E3">
        <w:rPr>
          <w:rStyle w:val="ae"/>
          <w:rFonts w:ascii="Times New Roman" w:hAnsi="Times New Roman" w:cs="Times New Roman"/>
          <w:sz w:val="26"/>
          <w:szCs w:val="26"/>
        </w:rPr>
        <w:t>марта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0063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BF4EE1" w:rsidRPr="00BF4EE1" w:rsidTr="001960BE">
        <w:trPr>
          <w:trHeight w:hRule="exact" w:val="1296"/>
        </w:trPr>
        <w:tc>
          <w:tcPr>
            <w:tcW w:w="360" w:type="pct"/>
            <w:shd w:val="clear" w:color="auto" w:fill="FFFFFF"/>
          </w:tcPr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  <w:kern w:val="1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4EE1">
              <w:rPr>
                <w:rFonts w:ascii="Times New Roman" w:hAnsi="Times New Roman" w:cs="Times New Roman"/>
                <w:bCs/>
              </w:rPr>
              <w:t>ОКПД2/</w:t>
            </w:r>
          </w:p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hAnsi="Times New Roman" w:cs="Times New Roman"/>
                <w:bCs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Наименование ТСР в соответствии </w:t>
            </w:r>
            <w:r w:rsidRPr="00BF4EE1">
              <w:rPr>
                <w:rFonts w:ascii="Times New Roman" w:hAnsi="Times New Roman" w:cs="Times New Roman"/>
                <w:bCs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BF4EE1" w:rsidRPr="00BF4EE1" w:rsidRDefault="00BF4EE1" w:rsidP="001960B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F4EE1">
              <w:rPr>
                <w:rFonts w:ascii="Times New Roman" w:eastAsia="Calibri" w:hAnsi="Times New Roman" w:cs="Times New Roman"/>
                <w:bCs/>
                <w:color w:val="00000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</w:rPr>
              <w:t>Кол-во, шт.</w:t>
            </w:r>
          </w:p>
        </w:tc>
      </w:tr>
      <w:tr w:rsidR="00BF4EE1" w:rsidRPr="00BF4EE1" w:rsidTr="00BF4EE1">
        <w:trPr>
          <w:trHeight w:hRule="exact" w:val="4422"/>
        </w:trPr>
        <w:tc>
          <w:tcPr>
            <w:tcW w:w="360" w:type="pct"/>
            <w:shd w:val="clear" w:color="auto" w:fill="FFFFFF"/>
          </w:tcPr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BF4EE1">
              <w:rPr>
                <w:rFonts w:ascii="Times New Roman" w:eastAsia="Calibri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BF4EE1" w:rsidRPr="00BF4EE1" w:rsidRDefault="00BF4EE1" w:rsidP="001960B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4EE1">
              <w:rPr>
                <w:rFonts w:ascii="Times New Roman" w:eastAsia="Calibri" w:hAnsi="Times New Roman" w:cs="Times New Roman"/>
                <w:color w:val="000000"/>
              </w:rPr>
              <w:t xml:space="preserve">ОКПД2 </w:t>
            </w:r>
          </w:p>
          <w:p w:rsidR="00BF4EE1" w:rsidRPr="00BF4EE1" w:rsidRDefault="00BF4EE1" w:rsidP="001960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hAnsi="Times New Roman" w:cs="Times New Roman"/>
              </w:rPr>
              <w:t>32.50.13.190</w:t>
            </w:r>
          </w:p>
          <w:p w:rsidR="00BF4EE1" w:rsidRPr="00BF4EE1" w:rsidRDefault="00BF4EE1" w:rsidP="001960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hAnsi="Times New Roman" w:cs="Times New Roman"/>
              </w:rPr>
              <w:t>КТРУ 32.50.13.190-00006894 -  Катетер уретральный для однократного дренирования</w:t>
            </w:r>
          </w:p>
        </w:tc>
        <w:tc>
          <w:tcPr>
            <w:tcW w:w="799" w:type="pct"/>
            <w:shd w:val="clear" w:color="auto" w:fill="FFFFFF"/>
          </w:tcPr>
          <w:p w:rsidR="00BF4EE1" w:rsidRPr="00BF4EE1" w:rsidRDefault="00BF4EE1" w:rsidP="001960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EE1">
              <w:rPr>
                <w:rFonts w:ascii="Times New Roman" w:hAnsi="Times New Roman" w:cs="Times New Roman"/>
                <w:color w:val="000000"/>
              </w:rPr>
              <w:t xml:space="preserve">21-01-20 </w:t>
            </w:r>
          </w:p>
          <w:p w:rsidR="00BF4EE1" w:rsidRPr="00BF4EE1" w:rsidRDefault="00BF4EE1" w:rsidP="001960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hAnsi="Times New Roman" w:cs="Times New Roman"/>
              </w:rPr>
              <w:t>КОЗ 01.28.21.01.20.01</w:t>
            </w:r>
          </w:p>
          <w:p w:rsidR="00BF4EE1" w:rsidRPr="00BF4EE1" w:rsidRDefault="00BF4EE1" w:rsidP="001960B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F4EE1">
              <w:rPr>
                <w:rFonts w:ascii="Times New Roman" w:hAnsi="Times New Roman" w:cs="Times New Roman"/>
                <w:color w:val="000000"/>
              </w:rPr>
              <w:t>Катетер для самокатетеризации лубри</w:t>
            </w:r>
            <w:bookmarkStart w:id="0" w:name="_GoBack1"/>
            <w:bookmarkEnd w:id="0"/>
            <w:r w:rsidRPr="00BF4EE1">
              <w:rPr>
                <w:rFonts w:ascii="Times New Roman" w:hAnsi="Times New Roman" w:cs="Times New Roman"/>
                <w:color w:val="000000"/>
              </w:rPr>
              <w:t>цированный</w:t>
            </w:r>
            <w:r w:rsidRPr="00BF4EE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F4EE1">
              <w:rPr>
                <w:rFonts w:ascii="Times New Roman" w:hAnsi="Times New Roman" w:cs="Times New Roman"/>
                <w:color w:val="000000"/>
              </w:rPr>
              <w:t>(с зафиксированным гидрофильным покрытием)</w:t>
            </w:r>
          </w:p>
        </w:tc>
        <w:tc>
          <w:tcPr>
            <w:tcW w:w="2827" w:type="pct"/>
            <w:shd w:val="clear" w:color="auto" w:fill="FFFFFF"/>
          </w:tcPr>
          <w:p w:rsidR="00BF4EE1" w:rsidRPr="00BF4EE1" w:rsidRDefault="00BF4EE1" w:rsidP="0019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  <w:bCs/>
                <w:color w:val="000000"/>
              </w:rPr>
              <w:t>Катетер лубрицированный (Женский) для периодической  самокатетеризации ,готовый к применению , не требует дополнительной активации водой. С возможностью применения самим пациентом. Тип Нелатон. Размер по Шарьеру : от 06 ch (включительно) до 16 ch (включительно) (в зависимости от антропометрических данных пациента). Длина катетера не менее 18 см ( 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434" w:type="pct"/>
            <w:shd w:val="clear" w:color="auto" w:fill="FFFFFF"/>
          </w:tcPr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</w:rPr>
              <w:t>21250</w:t>
            </w:r>
          </w:p>
        </w:tc>
      </w:tr>
      <w:tr w:rsidR="00BF4EE1" w:rsidRPr="00BF4EE1" w:rsidTr="00BF4EE1">
        <w:trPr>
          <w:trHeight w:hRule="exact" w:val="4292"/>
        </w:trPr>
        <w:tc>
          <w:tcPr>
            <w:tcW w:w="360" w:type="pct"/>
            <w:shd w:val="clear" w:color="auto" w:fill="FFFFFF"/>
          </w:tcPr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BF4EE1">
              <w:rPr>
                <w:rFonts w:ascii="Times New Roman" w:eastAsia="Calibri" w:hAnsi="Times New Roman" w:cs="Times New Roman"/>
                <w:kern w:val="1"/>
                <w:lang w:eastAsia="ru-RU"/>
              </w:rPr>
              <w:lastRenderedPageBreak/>
              <w:t>2</w:t>
            </w:r>
          </w:p>
        </w:tc>
        <w:tc>
          <w:tcPr>
            <w:tcW w:w="580" w:type="pct"/>
            <w:shd w:val="clear" w:color="auto" w:fill="FFFFFF"/>
          </w:tcPr>
          <w:p w:rsidR="00BF4EE1" w:rsidRPr="00BF4EE1" w:rsidRDefault="00BF4EE1" w:rsidP="001960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  <w:color w:val="000000"/>
              </w:rPr>
              <w:t xml:space="preserve">ОКПД2 </w:t>
            </w:r>
            <w:r w:rsidRPr="00BF4EE1">
              <w:rPr>
                <w:rFonts w:ascii="Times New Roman" w:hAnsi="Times New Roman" w:cs="Times New Roman"/>
              </w:rPr>
              <w:t>32.50.13.190</w:t>
            </w:r>
          </w:p>
          <w:p w:rsidR="00BF4EE1" w:rsidRPr="00BF4EE1" w:rsidRDefault="00BF4EE1" w:rsidP="001960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  <w:color w:val="000000"/>
              </w:rPr>
              <w:t>КТРУ 32.50.13.190-00006894 -  Катетер уретральный для однократного дренирования</w:t>
            </w:r>
          </w:p>
        </w:tc>
        <w:tc>
          <w:tcPr>
            <w:tcW w:w="799" w:type="pct"/>
            <w:shd w:val="clear" w:color="auto" w:fill="FFFFFF"/>
          </w:tcPr>
          <w:p w:rsidR="00BF4EE1" w:rsidRPr="00BF4EE1" w:rsidRDefault="00BF4EE1" w:rsidP="001960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EE1">
              <w:rPr>
                <w:rFonts w:ascii="Times New Roman" w:hAnsi="Times New Roman" w:cs="Times New Roman"/>
                <w:color w:val="000000"/>
              </w:rPr>
              <w:t xml:space="preserve">21-01-20 </w:t>
            </w:r>
          </w:p>
          <w:p w:rsidR="00BF4EE1" w:rsidRPr="00BF4EE1" w:rsidRDefault="00BF4EE1" w:rsidP="001960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hAnsi="Times New Roman" w:cs="Times New Roman"/>
              </w:rPr>
              <w:t>КОЗ 01.28.21.01.20.01</w:t>
            </w:r>
          </w:p>
          <w:p w:rsidR="00BF4EE1" w:rsidRPr="00BF4EE1" w:rsidRDefault="00BF4EE1" w:rsidP="001960B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F4EE1">
              <w:rPr>
                <w:rFonts w:ascii="Times New Roman" w:hAnsi="Times New Roman" w:cs="Times New Roman"/>
                <w:color w:val="000000"/>
              </w:rPr>
              <w:t>Катетер для самокатетеризации лубри</w:t>
            </w:r>
            <w:bookmarkStart w:id="1" w:name="_GoBack11"/>
            <w:bookmarkEnd w:id="1"/>
            <w:r w:rsidRPr="00BF4EE1">
              <w:rPr>
                <w:rFonts w:ascii="Times New Roman" w:hAnsi="Times New Roman" w:cs="Times New Roman"/>
                <w:color w:val="000000"/>
              </w:rPr>
              <w:t>цированный</w:t>
            </w:r>
            <w:r w:rsidRPr="00BF4EE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F4EE1">
              <w:rPr>
                <w:rFonts w:ascii="Times New Roman" w:hAnsi="Times New Roman" w:cs="Times New Roman"/>
                <w:color w:val="000000"/>
              </w:rPr>
              <w:t>(с зафиксированным гидрофильным покрытием)</w:t>
            </w:r>
            <w:r w:rsidRPr="00BF4EE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827" w:type="pct"/>
            <w:shd w:val="clear" w:color="auto" w:fill="FFFFFF"/>
          </w:tcPr>
          <w:p w:rsidR="00BF4EE1" w:rsidRPr="00BF4EE1" w:rsidRDefault="00BF4EE1" w:rsidP="001960B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  <w:bCs/>
                <w:color w:val="000000"/>
              </w:rPr>
              <w:t>Катетер лубрицированный (Мужской) для периодической самокатетеризации ,готовый к применению, не требует дополнительной активации водой. С возможностью применения самим пациентом. Тип Нелатон. Размер по Шарьеру: от 08 ch (включительно) до 18 ch (включительно) (в зависимости от антропометрических данных пациента). Длина катетера не менее 40 см ( 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434" w:type="pct"/>
            <w:shd w:val="clear" w:color="auto" w:fill="FFFFFF"/>
          </w:tcPr>
          <w:p w:rsidR="00BF4EE1" w:rsidRPr="00BF4EE1" w:rsidRDefault="00BF4EE1" w:rsidP="001960B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BF4EE1">
              <w:rPr>
                <w:rFonts w:ascii="Times New Roman" w:eastAsia="Calibri" w:hAnsi="Times New Roman" w:cs="Times New Roman"/>
              </w:rPr>
              <w:t>21250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C2" w:rsidRDefault="00BE4CC2" w:rsidP="00D40A4F">
      <w:pPr>
        <w:spacing w:after="0" w:line="240" w:lineRule="auto"/>
      </w:pPr>
      <w:r>
        <w:separator/>
      </w:r>
    </w:p>
  </w:endnote>
  <w:endnote w:type="continuationSeparator" w:id="0">
    <w:p w:rsidR="00BE4CC2" w:rsidRDefault="00BE4CC2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C2" w:rsidRDefault="00BE4CC2" w:rsidP="00D40A4F">
      <w:pPr>
        <w:spacing w:after="0" w:line="240" w:lineRule="auto"/>
      </w:pPr>
      <w:r>
        <w:separator/>
      </w:r>
    </w:p>
  </w:footnote>
  <w:footnote w:type="continuationSeparator" w:id="0">
    <w:p w:rsidR="00BE4CC2" w:rsidRDefault="00BE4CC2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CB">
          <w:rPr>
            <w:noProof/>
          </w:rPr>
          <w:t>4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36F18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0100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28CB"/>
    <w:rsid w:val="001C3B1A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68B9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46B81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45B67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19E3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6888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4023"/>
    <w:rsid w:val="00AC7F71"/>
    <w:rsid w:val="00AE0DBC"/>
    <w:rsid w:val="00AE26C9"/>
    <w:rsid w:val="00AE36BF"/>
    <w:rsid w:val="00AE3DFC"/>
    <w:rsid w:val="00AE6215"/>
    <w:rsid w:val="00AE739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6DB6"/>
    <w:rsid w:val="00BD2BDD"/>
    <w:rsid w:val="00BE4CC2"/>
    <w:rsid w:val="00BF4EE1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F51F-ECBC-434E-AFC3-D316C7AD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2022-12-14T08:41:00Z</dcterms:created>
  <dcterms:modified xsi:type="dcterms:W3CDTF">2022-12-14T08:41:00Z</dcterms:modified>
</cp:coreProperties>
</file>