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F" w:rsidRPr="00772371" w:rsidRDefault="00366CF9" w:rsidP="007723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2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5701F" w:rsidRPr="0077237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5701F" w:rsidRDefault="0055701F" w:rsidP="007723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23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</w:t>
      </w:r>
      <w:r w:rsidR="00260918" w:rsidRPr="00772371">
        <w:rPr>
          <w:rFonts w:ascii="Times New Roman" w:hAnsi="Times New Roman" w:cs="Times New Roman"/>
          <w:sz w:val="20"/>
          <w:szCs w:val="20"/>
        </w:rPr>
        <w:t xml:space="preserve">Извещению </w:t>
      </w:r>
    </w:p>
    <w:p w:rsidR="00772371" w:rsidRPr="00772371" w:rsidRDefault="00772371" w:rsidP="007723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701F" w:rsidRPr="004E1746" w:rsidRDefault="0055701F" w:rsidP="0055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1F" w:rsidRPr="00260918" w:rsidRDefault="00260918" w:rsidP="005570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1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55701F" w:rsidRDefault="0055701F" w:rsidP="0055701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746">
        <w:rPr>
          <w:rFonts w:ascii="Times New Roman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772371" w:rsidRPr="004E1746" w:rsidRDefault="00772371" w:rsidP="0055701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2371" w:rsidRPr="00772371" w:rsidRDefault="00772371" w:rsidP="00705ABE">
      <w:pPr>
        <w:widowControl w:val="0"/>
        <w:tabs>
          <w:tab w:val="left" w:pos="8160"/>
        </w:tabs>
        <w:suppressAutoHyphens/>
        <w:spacing w:after="0" w:line="0" w:lineRule="atLeast"/>
        <w:rPr>
          <w:rFonts w:ascii="Times New Roman" w:eastAsia="Lucida Sans Unicode" w:hAnsi="Times New Roman" w:cs="Tahoma"/>
          <w:b/>
          <w:sz w:val="20"/>
          <w:szCs w:val="20"/>
          <w:lang w:bidi="en-US"/>
        </w:rPr>
      </w:pPr>
      <w:r w:rsidRPr="00772371">
        <w:rPr>
          <w:rFonts w:ascii="Times New Roman" w:eastAsia="Calibri" w:hAnsi="Times New Roman" w:cs="Tahoma"/>
          <w:b/>
          <w:sz w:val="20"/>
          <w:szCs w:val="20"/>
        </w:rPr>
        <w:t>Поставка инвалидам специальных устройств для чтения «говорящих книг» на флэш-картах</w:t>
      </w:r>
      <w:r w:rsidRPr="00772371">
        <w:rPr>
          <w:rFonts w:ascii="Times New Roman" w:eastAsia="Lucida Sans Unicode" w:hAnsi="Times New Roman" w:cs="Tahoma"/>
          <w:b/>
          <w:sz w:val="20"/>
          <w:szCs w:val="20"/>
          <w:lang w:bidi="en-US"/>
        </w:rPr>
        <w:t xml:space="preserve"> </w:t>
      </w:r>
    </w:p>
    <w:p w:rsidR="00772371" w:rsidRPr="00705ABE" w:rsidRDefault="00772371" w:rsidP="00705ABE">
      <w:pPr>
        <w:spacing w:after="0" w:line="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2371">
        <w:rPr>
          <w:rFonts w:ascii="Times New Roman" w:eastAsia="Lucida Sans Unicode" w:hAnsi="Times New Roman" w:cs="Tahoma"/>
          <w:b/>
          <w:sz w:val="20"/>
          <w:szCs w:val="20"/>
          <w:lang w:bidi="en-US"/>
        </w:rPr>
        <w:t xml:space="preserve">Срок </w:t>
      </w:r>
      <w:r w:rsidRPr="00772371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поставки</w:t>
      </w:r>
      <w:r w:rsidRPr="00772371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7723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05ABE" w:rsidRPr="00705A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даты получения от Заказчика реестра получателей Товара </w:t>
      </w:r>
      <w:r w:rsidR="00705A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31 августа 2022 года. </w:t>
      </w:r>
    </w:p>
    <w:p w:rsidR="00772371" w:rsidRPr="00772371" w:rsidRDefault="00772371" w:rsidP="00705ABE">
      <w:pPr>
        <w:widowControl w:val="0"/>
        <w:tabs>
          <w:tab w:val="left" w:pos="8160"/>
        </w:tabs>
        <w:suppressAutoHyphens/>
        <w:autoSpaceDN w:val="0"/>
        <w:spacing w:after="0" w:line="0" w:lineRule="atLeas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72371">
        <w:rPr>
          <w:rFonts w:ascii="Times New Roman" w:eastAsia="Calibri" w:hAnsi="Times New Roman" w:cs="Tahoma"/>
          <w:b/>
          <w:color w:val="000000"/>
          <w:sz w:val="20"/>
          <w:szCs w:val="20"/>
        </w:rPr>
        <w:t>Место поставки:</w:t>
      </w:r>
      <w:r w:rsidRPr="00772371">
        <w:rPr>
          <w:rFonts w:ascii="Times New Roman" w:eastAsia="Calibri" w:hAnsi="Times New Roman" w:cs="Tahoma"/>
          <w:color w:val="000000"/>
          <w:sz w:val="20"/>
          <w:szCs w:val="20"/>
        </w:rPr>
        <w:t xml:space="preserve"> </w:t>
      </w:r>
      <w:r w:rsidRPr="00772371">
        <w:rPr>
          <w:rFonts w:ascii="Times New Roman" w:eastAsia="Times New Roman" w:hAnsi="Times New Roman" w:cs="Tahoma"/>
          <w:color w:val="000000"/>
          <w:sz w:val="20"/>
          <w:szCs w:val="20"/>
          <w:lang w:eastAsia="ar-SA"/>
        </w:rPr>
        <w:t>Российская Федерация, Республика Коми: по месту жительства Получателя и в пункте выдачи Товара.</w:t>
      </w:r>
    </w:p>
    <w:p w:rsidR="00772371" w:rsidRPr="00772371" w:rsidRDefault="00772371" w:rsidP="00705ABE">
      <w:pPr>
        <w:tabs>
          <w:tab w:val="left" w:pos="8160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772371">
        <w:rPr>
          <w:rFonts w:ascii="Times New Roman" w:eastAsia="Calibri" w:hAnsi="Times New Roman" w:cs="Times New Roman"/>
          <w:b/>
          <w:sz w:val="20"/>
          <w:szCs w:val="20"/>
        </w:rPr>
        <w:t>Начальная (максимальная) цена контракта:</w:t>
      </w:r>
      <w:r w:rsidRPr="00772371">
        <w:rPr>
          <w:rFonts w:ascii="Times New Roman" w:eastAsia="Calibri" w:hAnsi="Times New Roman" w:cs="Times New Roman"/>
          <w:sz w:val="20"/>
          <w:szCs w:val="20"/>
        </w:rPr>
        <w:t xml:space="preserve"> 2 869 999 (Два миллиона восемьсот шестьдесят девять тысяч девятьсот девяносто девять) рублей 50 копеек.</w:t>
      </w:r>
    </w:p>
    <w:p w:rsidR="00772371" w:rsidRPr="00772371" w:rsidRDefault="00772371" w:rsidP="00705ABE">
      <w:pPr>
        <w:tabs>
          <w:tab w:val="left" w:pos="8160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7723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ОКПД2:</w:t>
      </w:r>
      <w:r w:rsidRPr="007723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72371">
        <w:rPr>
          <w:rFonts w:ascii="Times New Roman" w:eastAsia="Calibri" w:hAnsi="Times New Roman" w:cs="Times New Roman"/>
          <w:sz w:val="20"/>
          <w:szCs w:val="20"/>
        </w:rPr>
        <w:t>26.40.31.190</w:t>
      </w:r>
    </w:p>
    <w:p w:rsidR="00E95EC7" w:rsidRDefault="00E95EC7" w:rsidP="00E95EC7">
      <w:pPr>
        <w:keepNext/>
        <w:tabs>
          <w:tab w:val="left" w:pos="8160"/>
        </w:tabs>
        <w:overflowPunct w:val="0"/>
        <w:autoSpaceDE w:val="0"/>
        <w:spacing w:line="100" w:lineRule="atLeast"/>
        <w:ind w:firstLine="480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772371" w:rsidRPr="00772371" w:rsidRDefault="00772371" w:rsidP="00772371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72371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72371">
        <w:rPr>
          <w:rFonts w:ascii="Times New Roman" w:eastAsia="Calibri" w:hAnsi="Times New Roman" w:cs="Times New Roman"/>
        </w:rPr>
        <w:t>Упаковка должна производится в соответствии с ГОСТ 15846-2002 «Продукция, отправляемая в районы крайнего севера и приравненные к ним местности. Упаковка. Маркировка. Транспортирование и Хранение».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72371">
        <w:rPr>
          <w:rFonts w:ascii="Times New Roman" w:eastAsia="Calibri" w:hAnsi="Times New Roman" w:cs="Times New Roman"/>
        </w:rPr>
        <w:t xml:space="preserve">Товар должен соответствовать требованиям стандарта ГОСТ 31214-2016 «Изделия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</w:r>
      <w:proofErr w:type="spellStart"/>
      <w:r w:rsidRPr="00772371">
        <w:rPr>
          <w:rFonts w:ascii="Times New Roman" w:eastAsia="Calibri" w:hAnsi="Times New Roman" w:cs="Times New Roman"/>
        </w:rPr>
        <w:t>пирогенность</w:t>
      </w:r>
      <w:proofErr w:type="spellEnd"/>
      <w:r w:rsidRPr="00772371">
        <w:rPr>
          <w:rFonts w:ascii="Times New Roman" w:eastAsia="Calibri" w:hAnsi="Times New Roman" w:cs="Times New Roman"/>
        </w:rPr>
        <w:t>».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72371">
        <w:rPr>
          <w:rFonts w:ascii="Times New Roman" w:eastAsia="Calibri" w:hAnsi="Times New Roman" w:cs="Times New Roman"/>
        </w:rPr>
        <w:t xml:space="preserve">При использовании Товара по назначению не должно быть угрозы для жизни и здоровья потребителя, окружающей среды, использование Товара по </w:t>
      </w:r>
      <w:r>
        <w:rPr>
          <w:rFonts w:ascii="Times New Roman" w:eastAsia="Calibri" w:hAnsi="Times New Roman" w:cs="Times New Roman"/>
        </w:rPr>
        <w:t xml:space="preserve">назначению не должны причинять </w:t>
      </w:r>
      <w:r w:rsidRPr="00772371">
        <w:rPr>
          <w:rFonts w:ascii="Times New Roman" w:eastAsia="Calibri" w:hAnsi="Times New Roman" w:cs="Times New Roman"/>
        </w:rPr>
        <w:t>вред имуществу потребителя при его эксплуатации. Материалы, применяемые для изготовлен</w:t>
      </w:r>
      <w:r>
        <w:rPr>
          <w:rFonts w:ascii="Times New Roman" w:eastAsia="Calibri" w:hAnsi="Times New Roman" w:cs="Times New Roman"/>
        </w:rPr>
        <w:t xml:space="preserve">ия Товара, не должны содержать </w:t>
      </w:r>
      <w:r w:rsidRPr="00772371">
        <w:rPr>
          <w:rFonts w:ascii="Times New Roman" w:eastAsia="Calibri" w:hAnsi="Times New Roman" w:cs="Times New Roman"/>
        </w:rPr>
        <w:t>ядовитых (токсичных) компонентов, не воздействуют на цвет поверхности, с которой контактируют те или иные детали изделия п</w:t>
      </w:r>
      <w:r>
        <w:rPr>
          <w:rFonts w:ascii="Times New Roman" w:eastAsia="Calibri" w:hAnsi="Times New Roman" w:cs="Times New Roman"/>
        </w:rPr>
        <w:t xml:space="preserve">ри его нормальной эксплуатации </w:t>
      </w:r>
      <w:r w:rsidRPr="00772371">
        <w:rPr>
          <w:rFonts w:ascii="Times New Roman" w:eastAsia="Calibri" w:hAnsi="Times New Roman" w:cs="Times New Roman"/>
          <w:lang w:eastAsia="ru-RU"/>
        </w:rPr>
        <w:t>ГОСТ Р 52770-2016.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72371">
        <w:rPr>
          <w:rFonts w:ascii="Times New Roman" w:eastAsia="Calibri" w:hAnsi="Times New Roman" w:cs="Times New Roman"/>
        </w:rPr>
        <w:t xml:space="preserve">Товар должен соответствовать требованиям стандартов серии ГОСТ </w:t>
      </w:r>
      <w:r w:rsidRPr="00772371">
        <w:rPr>
          <w:rFonts w:ascii="Times New Roman" w:eastAsia="Calibri" w:hAnsi="Times New Roman" w:cs="Times New Roman"/>
          <w:lang w:val="en-US"/>
        </w:rPr>
        <w:t>ISO</w:t>
      </w:r>
      <w:r w:rsidRPr="00772371">
        <w:rPr>
          <w:rFonts w:ascii="Times New Roman" w:eastAsia="Calibri" w:hAnsi="Times New Roman" w:cs="Times New Roman"/>
        </w:rPr>
        <w:t xml:space="preserve"> 10993-1-2021 «</w:t>
      </w:r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Pr="00772371">
        <w:rPr>
          <w:rFonts w:ascii="Times New Roman" w:eastAsia="Calibri" w:hAnsi="Times New Roman" w:cs="Times New Roman"/>
        </w:rPr>
        <w:t>».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72371">
        <w:rPr>
          <w:rFonts w:ascii="Times New Roman" w:eastAsia="Calibri" w:hAnsi="Times New Roman" w:cs="Times New Roman"/>
        </w:rPr>
        <w:t xml:space="preserve">Товар должен соответствовать требованиям стандартов серии ГОСТ </w:t>
      </w:r>
      <w:r w:rsidRPr="00772371">
        <w:rPr>
          <w:rFonts w:ascii="Times New Roman" w:eastAsia="Calibri" w:hAnsi="Times New Roman" w:cs="Times New Roman"/>
          <w:lang w:val="en-US"/>
        </w:rPr>
        <w:t>ISO</w:t>
      </w:r>
      <w:r w:rsidRPr="00772371">
        <w:rPr>
          <w:rFonts w:ascii="Times New Roman" w:eastAsia="Calibri" w:hAnsi="Times New Roman" w:cs="Times New Roman"/>
        </w:rPr>
        <w:t xml:space="preserve"> 10993-5-2011 «</w:t>
      </w:r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>цитотоксичность</w:t>
      </w:r>
      <w:proofErr w:type="spellEnd"/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: методы </w:t>
      </w:r>
      <w:proofErr w:type="spellStart"/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>in</w:t>
      </w:r>
      <w:proofErr w:type="spellEnd"/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>vitro</w:t>
      </w:r>
      <w:proofErr w:type="spellEnd"/>
      <w:r w:rsidRPr="00772371">
        <w:rPr>
          <w:rFonts w:ascii="Times New Roman" w:eastAsia="Calibri" w:hAnsi="Times New Roman" w:cs="Times New Roman"/>
        </w:rPr>
        <w:t>».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Товар должен </w:t>
      </w:r>
      <w:r w:rsidRPr="00772371">
        <w:rPr>
          <w:rFonts w:ascii="Times New Roman" w:eastAsia="Calibri" w:hAnsi="Times New Roman" w:cs="Times New Roman"/>
        </w:rPr>
        <w:t xml:space="preserve">соответствовать требованиям стандартов серии ГОСТ </w:t>
      </w:r>
      <w:r w:rsidRPr="00772371">
        <w:rPr>
          <w:rFonts w:ascii="Times New Roman" w:eastAsia="Calibri" w:hAnsi="Times New Roman" w:cs="Times New Roman"/>
          <w:lang w:val="en-US"/>
        </w:rPr>
        <w:t>ISO</w:t>
      </w:r>
      <w:r w:rsidRPr="00772371">
        <w:rPr>
          <w:rFonts w:ascii="Times New Roman" w:eastAsia="Calibri" w:hAnsi="Times New Roman" w:cs="Times New Roman"/>
        </w:rPr>
        <w:t xml:space="preserve"> 10993-10-2011 «</w:t>
      </w:r>
      <w:r w:rsidRPr="00772371">
        <w:rPr>
          <w:rFonts w:ascii="Times New Roman" w:eastAsia="Calibri" w:hAnsi="Times New Roman" w:cs="Times New Roman"/>
          <w:color w:val="000000"/>
          <w:shd w:val="clear" w:color="auto" w:fill="FFFFFF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Pr="00772371">
        <w:rPr>
          <w:rFonts w:ascii="Times New Roman" w:eastAsia="Calibri" w:hAnsi="Times New Roman" w:cs="Times New Roman"/>
        </w:rPr>
        <w:t>».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72371">
        <w:rPr>
          <w:rFonts w:ascii="Times New Roman" w:eastAsia="Calibri" w:hAnsi="Times New Roman" w:cs="Times New Roman"/>
        </w:rPr>
        <w:t xml:space="preserve">Товар должен соответствовать требованиям стандартов серии </w:t>
      </w:r>
      <w:r w:rsidRPr="00772371">
        <w:rPr>
          <w:rFonts w:ascii="Times New Roman" w:eastAsia="Calibri" w:hAnsi="Times New Roman" w:cs="Times New Roman"/>
          <w:lang w:eastAsia="ru-RU"/>
        </w:rPr>
        <w:t xml:space="preserve">ГОСТ Р 51632-2021 </w:t>
      </w:r>
      <w:r w:rsidRPr="00772371">
        <w:rPr>
          <w:rFonts w:ascii="Times New Roman" w:eastAsia="Calibri" w:hAnsi="Times New Roman" w:cs="Times New Roman"/>
        </w:rPr>
        <w:t>«Технические средства реабилитации людей с ограничениями жизнедеятельности. Общие технические требования и методы испытаний».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111"/>
        <w:gridCol w:w="1276"/>
        <w:gridCol w:w="850"/>
        <w:gridCol w:w="1276"/>
      </w:tblGrid>
      <w:tr w:rsidR="00772371" w:rsidRPr="00772371" w:rsidTr="00705ABE">
        <w:trPr>
          <w:trHeight w:val="7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71" w:rsidRPr="00772371" w:rsidRDefault="00772371" w:rsidP="0077237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7723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 w:rsidRPr="007723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Товара¹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КТРУ²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71" w:rsidRPr="00772371" w:rsidRDefault="00772371" w:rsidP="0077237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</w:t>
            </w:r>
          </w:p>
          <w:p w:rsidR="00772371" w:rsidRPr="00772371" w:rsidRDefault="00772371" w:rsidP="0077237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единицу,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71" w:rsidRPr="00772371" w:rsidRDefault="00772371" w:rsidP="00772371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Кол-во,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71" w:rsidRPr="00772371" w:rsidRDefault="00772371" w:rsidP="00772371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Итого, руб.</w:t>
            </w:r>
          </w:p>
        </w:tc>
      </w:tr>
      <w:tr w:rsidR="00772371" w:rsidRPr="00772371" w:rsidTr="00705ABE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371" w:rsidRPr="00772371" w:rsidRDefault="00772371" w:rsidP="007723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</w:rPr>
              <w:t>13-01-01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</w:rPr>
              <w:t>26.40.31.190-00000001</w:t>
            </w:r>
          </w:p>
          <w:p w:rsidR="00772371" w:rsidRPr="00772371" w:rsidRDefault="00772371" w:rsidP="00772371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Специальные устройства для чтения «говорящих книг»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-картах (далее-устройства) предназначены для воспроизведения «говорящих книг», записанных в специальном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криптозащищенном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формате, предусмотренном перечнем форматов,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№ 32.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Устройства предназначены для воспроизведения «говорящих книг» международного формата DAISY, аудио файлов и электронных текстов из фондов Российской государственной библиотеки для слепых, специальных библиотек и школ для </w:t>
            </w: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слепых.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ТР ТС 004/2011 «О безопасности низковольтного оборудования»;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ТР ТС 020/2011 «Электромагнитная совместимость технических средств».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«Говорящие книги», записанные в специализированном формате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флешкартах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типа SD, SDHC и SDXC с применением трехпроходного поточного блочного шифрования содержимого MP3 файлов по алгоритму ХХТЕА с длиной ключа криптозащиты 128 бит.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этом устройство должно выполнять следующие функции: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ускоренная перемотка в пределах всей книги в прямом и обратном направлениях;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50* для каждой книги (отдельный список для каждой книги);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плавная (или ступенчатая с количеством градаций не менее 11*) регулировка скорости воспроизведения без изменения тембра голоса: в сторону уменьшения - не менее, чем в 2 раза*, и в сторону увеличения - не менее, чем в 3 раза*;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озвучивание встроенным синтезатором речи имени автора и названия книги.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«Говорящие книги» международного формата DAISY (DAYSI 2.0, DAYSI 2.02).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 этом устройство должно выполнять следующие функции: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ускоренная перемотка в пределах всей книги в прямом и обратном направлениях;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50* для каждой книги (отдельный список для каждой книги);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плавная (или ступенчатая с количеством градаций не менее 11*) регулировка скорости воспроизведения без изменения тембра голоса: в сторону уменьшения - не менее, чем в 2 раза*, и в сторону увеличения - не менее, чем в 3 раза*;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озвучивание встроенным синтезатором речи имени автора и названия книги.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Аудиофайлы формата MP3 с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битрейтом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диапазоне не уже чем 8-320 Кбит/сек*, форматов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Ogg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Vorbis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FLAC, WAVE (PCM), AAC.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этом устройство должно выполнять следующие функции: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ускоренная перемотка в пределах папки в прямом и обратном направлениях;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50* для каждой папки (отдельный список для каждой папки);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плавная (или ступенчатая с количеством градаций не менее 11*) регулировка скорости воспроизведения без изменения тембра голоса: в сторону уменьшения - не менее, чем в 2 раза*, и в сторону увеличения - не менее, чем в 3 раза*;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255*).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Воспроизведение файлов электронных текстовых форматов: TXT (в кодировках СР1251, UTF-8), HTML и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(DOC), при помощи встроенного русскоязычного синтезатора речи. 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Синтезатор речи должен соответствовать высшему классу качества по ГОСТ Р 50840-95 «Передача речи по трактам связи. Методы оценки качества,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разборчивости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узнаваемости» </w:t>
            </w: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(пункт 8.4).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этом устройство должно выполнять следующие функции: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ускоренная перемотка в пределах файла в прямом и обратном направлениях;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50* для каждого файла (отдельный список для каждого файла);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плавная (или ступенчатая с количеством градаций не менее 11*) регулировка скорости воспроизведения без изменения тембра голоса: в сторону уменьшения - не менее, чем в 2 раза*, и в сторону увеличения - не менее, чем в 3 раза*;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255*), и количества прочитанного в процентах.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внешнего подключаемого USB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модуля*, входящего в комплект поставки устройства.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Delivery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Protocol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(DODP).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этом пользователь должен иметь следующие возможности выбора книг: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должно иметь встроенный FM-радиоприемник со следующими техническими параметрами и функциональными характеристиками: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диапазон принимаемых частот: не уже чем 64-108 МГц*;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тип приемной антенны: телескопическая или внутренняя*;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наличие функции сохранения в памяти устройства настроек на определенные радиостанции в количестве не менее 50*;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возможность озвученной речевой навигации по сохраненным в памяти устройства радиостанциям;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наличие режима записи с радиоприемника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-карту (или во внутреннюю память*) с возможностью последующего воспроизведения.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запись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-карту (или во внутреннюю память*) со встроенного и с внешнего микрофонов и последующего воспроизведения;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должно обеспечивать работу со следующими типами носителей информации: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-карты типа SD, SDHC и SDXC с максимальным возможным объемом не менее 64 Гбайт*;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USB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-накопитель;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внутренняя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-память.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Устройство должно обеспечивать возможность прослушивания как через встроенную акустическую систему, так и с использованием стереонаушников.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Суммарная выходная мощность встроенной акустической системы: не менее 4,0 Вт*.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Диапазон воспроизводимых частот: не уже чем 100-10000 Гц*.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Регулировка громкости во всех режимах работы устройства должна быть плавной или ступенчатой* с количеством градаций не менее 25*.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повторном включении аппарата после его выключения должны оставаться неизменными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режима записи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-карту (или во внутреннюю память*) с внешних аудио-источников через линейный вход с возможностью последующего воспроизведения.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функции блокировки клавиатуры.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Обновление внутреннего программного обеспечения должно производиться из файлов, записанных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-карте.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Корпус устройства должен быть изготовлен из высокопрочного материала.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Клавиатура управления должна быть кнопочной (или клавишной*).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 кнопки (или клавиши*) управления должны быть снабжены звуковым сигнализатором (речевым информатором) и тактильными обозначениями.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алфавита* и (или) рельефными арабскими цифрами* и (или) рельефными знаками символов*.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Питание устройства комбинированное: от сети 220 В, 50 Гц и от встроенного аккумулятора.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Время автономной работы от аккумулятора не менее 6 часов* в режиме чтения «говорящей книги» через встроенную акустическую систему при среднем уровне громкости.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Время полной зарядки аккумулятора не более 7 часов*.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Габаритные размеры: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длина не менее 170 мм* и не более 200 мм*;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высота не менее 100 мм* и не более 140 мм*;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глубина не менее 30 мм* и не более 80 мм*.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Масса: не более 0,5 кг*. 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комплект поставки должны входить: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специальное устройство для чтения «говорящих книг» 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-картах;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-карта объемом не менее 2 Гбайт* с записанными в специализированном формате «говорящими книгами»;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сетевой адаптер;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наушники;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паспорт изделия;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плоскопечатное (крупным шрифтом) руководство по эксплуатации на русском языке;</w:t>
            </w:r>
            <w:bookmarkStart w:id="0" w:name="_GoBack"/>
            <w:bookmarkEnd w:id="0"/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звуковое (на </w:t>
            </w:r>
            <w:proofErr w:type="spellStart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-карте или во внутренней памяти*) руководство по эксплуатации;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ремень или сумка для переноски*;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упаковочная коробка;</w:t>
            </w:r>
          </w:p>
          <w:p w:rsidR="00772371" w:rsidRPr="00772371" w:rsidRDefault="00772371" w:rsidP="007723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кабель USB для соединения устройства с компьютером;</w:t>
            </w:r>
          </w:p>
          <w:p w:rsidR="00772371" w:rsidRPr="00772371" w:rsidRDefault="00772371" w:rsidP="00772371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гарантийный талон.</w:t>
            </w:r>
          </w:p>
          <w:p w:rsidR="00772371" w:rsidRPr="00772371" w:rsidRDefault="00FB6206" w:rsidP="00772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Гарантийный срок не менее 12</w:t>
            </w:r>
            <w:r w:rsidR="00772371" w:rsidRPr="007723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 xml:space="preserve">не более </w:t>
            </w:r>
          </w:p>
          <w:p w:rsidR="00772371" w:rsidRPr="00772371" w:rsidRDefault="00772371" w:rsidP="00772371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19 133,33</w:t>
            </w:r>
          </w:p>
        </w:tc>
        <w:tc>
          <w:tcPr>
            <w:tcW w:w="850" w:type="dxa"/>
          </w:tcPr>
          <w:p w:rsidR="00772371" w:rsidRPr="00772371" w:rsidRDefault="00772371" w:rsidP="00772371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более 2 869 999,50</w:t>
            </w:r>
          </w:p>
        </w:tc>
      </w:tr>
      <w:tr w:rsidR="00772371" w:rsidRPr="00772371" w:rsidTr="00705ABE">
        <w:trPr>
          <w:trHeight w:val="3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1" w:rsidRPr="00772371" w:rsidRDefault="00772371" w:rsidP="00772371">
            <w:pPr>
              <w:spacing w:after="0" w:line="240" w:lineRule="auto"/>
              <w:ind w:left="34" w:right="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2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1" w:rsidRPr="00772371" w:rsidRDefault="00772371" w:rsidP="0077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237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более 2 869 999,50</w:t>
            </w:r>
          </w:p>
        </w:tc>
      </w:tr>
    </w:tbl>
    <w:p w:rsidR="00772371" w:rsidRPr="00772371" w:rsidRDefault="00772371" w:rsidP="00705AB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72371" w:rsidRPr="00772371" w:rsidRDefault="00772371" w:rsidP="0077237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kern w:val="2"/>
          <w:sz w:val="20"/>
          <w:lang w:eastAsia="ru-RU"/>
        </w:rPr>
      </w:pPr>
      <w:r w:rsidRPr="00772371">
        <w:rPr>
          <w:rFonts w:ascii="Times New Roman" w:eastAsia="Calibri" w:hAnsi="Times New Roman" w:cs="Times New Roman"/>
          <w:b/>
          <w:kern w:val="2"/>
          <w:sz w:val="20"/>
          <w:lang w:eastAsia="ru-RU"/>
        </w:rPr>
        <w:t xml:space="preserve"> Обязательные требования к организации и режиму работы пунктов выдачи:</w:t>
      </w:r>
    </w:p>
    <w:p w:rsidR="00772371" w:rsidRPr="00772371" w:rsidRDefault="00772371" w:rsidP="0077237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lang w:eastAsia="ru-RU"/>
        </w:rPr>
      </w:pPr>
      <w:r w:rsidRPr="00772371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 Поставщик должен организовать в день, следующий за днем заключения Контракта, пункт выдачи в городе Сыктывкаре </w:t>
      </w:r>
      <w:r w:rsidRPr="00772371">
        <w:rPr>
          <w:rFonts w:ascii="Times New Roman" w:eastAsia="Calibri" w:hAnsi="Times New Roman" w:cs="Times New Roman"/>
          <w:kern w:val="2"/>
          <w:sz w:val="20"/>
        </w:rPr>
        <w:t xml:space="preserve">и </w:t>
      </w:r>
      <w:r w:rsidRPr="00772371">
        <w:rPr>
          <w:rFonts w:ascii="Times New Roman" w:eastAsia="Calibri" w:hAnsi="Times New Roman" w:cs="Times New Roman"/>
          <w:kern w:val="2"/>
          <w:sz w:val="20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772371" w:rsidRPr="00772371" w:rsidRDefault="00772371" w:rsidP="0077237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lang w:eastAsia="ru-RU"/>
        </w:rPr>
      </w:pPr>
      <w:r w:rsidRPr="00772371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772371" w:rsidRPr="00772371" w:rsidRDefault="00772371" w:rsidP="00772371">
      <w:pPr>
        <w:widowControl w:val="0"/>
        <w:autoSpaceDE w:val="0"/>
        <w:spacing w:after="0" w:line="240" w:lineRule="auto"/>
        <w:ind w:firstLine="426"/>
        <w:jc w:val="both"/>
        <w:rPr>
          <w:rFonts w:ascii="Calibri" w:eastAsia="Calibri" w:hAnsi="Calibri" w:cs="Times New Roman"/>
          <w:kern w:val="2"/>
          <w:sz w:val="20"/>
          <w:lang w:eastAsia="ru-RU"/>
        </w:rPr>
      </w:pPr>
      <w:r w:rsidRPr="00772371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 Поставщик не позднее одного рабочего дня с даты организации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</w:t>
      </w:r>
      <w:r w:rsidRPr="00772371">
        <w:rPr>
          <w:rFonts w:ascii="Calibri" w:eastAsia="Calibri" w:hAnsi="Calibri" w:cs="Times New Roman"/>
          <w:kern w:val="2"/>
          <w:sz w:val="20"/>
          <w:lang w:eastAsia="ru-RU"/>
        </w:rPr>
        <w:t>.</w:t>
      </w:r>
    </w:p>
    <w:p w:rsidR="00772371" w:rsidRPr="00772371" w:rsidRDefault="00772371" w:rsidP="0077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</w:p>
    <w:p w:rsidR="00772371" w:rsidRPr="00772371" w:rsidRDefault="00772371" w:rsidP="007723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2371">
        <w:rPr>
          <w:rFonts w:ascii="Times New Roman" w:eastAsia="Calibri" w:hAnsi="Times New Roman" w:cs="Times New Roman"/>
          <w:sz w:val="20"/>
          <w:szCs w:val="20"/>
        </w:rPr>
        <w:t xml:space="preserve">¹ </w:t>
      </w:r>
      <w:r w:rsidRPr="00772371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772371">
        <w:rPr>
          <w:rFonts w:ascii="Times New Roman" w:eastAsia="Calibri" w:hAnsi="Times New Roman" w:cs="Times New Roman"/>
          <w:sz w:val="18"/>
          <w:szCs w:val="18"/>
        </w:rPr>
        <w:t>абилитации</w:t>
      </w:r>
      <w:proofErr w:type="spellEnd"/>
      <w:r w:rsidRPr="00772371">
        <w:rPr>
          <w:rFonts w:ascii="Times New Roman" w:eastAsia="Calibri" w:hAnsi="Times New Roman" w:cs="Times New Roman"/>
          <w:sz w:val="18"/>
          <w:szCs w:val="18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772371" w:rsidRPr="00772371" w:rsidRDefault="00772371" w:rsidP="007723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ahoma"/>
          <w:color w:val="000000"/>
          <w:sz w:val="18"/>
          <w:szCs w:val="18"/>
        </w:rPr>
      </w:pPr>
      <w:r w:rsidRPr="00772371">
        <w:rPr>
          <w:rFonts w:ascii="Times New Roman" w:eastAsia="Calibri" w:hAnsi="Times New Roman" w:cs="Tahoma"/>
          <w:color w:val="000000"/>
          <w:sz w:val="18"/>
          <w:szCs w:val="18"/>
        </w:rPr>
        <w:t>²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772371" w:rsidRPr="00772371" w:rsidRDefault="00772371" w:rsidP="007723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71">
        <w:rPr>
          <w:rFonts w:ascii="Calibri" w:eastAsia="Calibri" w:hAnsi="Calibri" w:cs="Times New Roman"/>
          <w:sz w:val="20"/>
          <w:szCs w:val="20"/>
          <w:vertAlign w:val="superscript"/>
        </w:rPr>
        <w:t xml:space="preserve">³ </w:t>
      </w:r>
      <w:proofErr w:type="gramStart"/>
      <w:r w:rsidRPr="00772371">
        <w:rPr>
          <w:rFonts w:ascii="Times New Roman" w:eastAsia="Calibri" w:hAnsi="Times New Roman" w:cs="Times New Roman"/>
          <w:sz w:val="18"/>
          <w:szCs w:val="18"/>
        </w:rPr>
        <w:t>В</w:t>
      </w:r>
      <w:proofErr w:type="gramEnd"/>
      <w:r w:rsidRPr="00772371">
        <w:rPr>
          <w:rFonts w:ascii="Times New Roman" w:eastAsia="Calibri" w:hAnsi="Times New Roman" w:cs="Times New Roman"/>
          <w:sz w:val="18"/>
          <w:szCs w:val="18"/>
        </w:rPr>
        <w:t xml:space="preserve"> техническом задании используются требования к объекту закупки на основании пунктов 1,2 ч.1 ст.33 44-ФЗ, связанные с потребностью Заказчика по обеспечению  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инвалидов.</w:t>
      </w:r>
    </w:p>
    <w:p w:rsidR="00772371" w:rsidRPr="00772371" w:rsidRDefault="00772371" w:rsidP="00772371">
      <w:pPr>
        <w:rPr>
          <w:rFonts w:ascii="Calibri" w:eastAsia="Calibri" w:hAnsi="Calibri" w:cs="Times New Roman"/>
        </w:rPr>
      </w:pPr>
    </w:p>
    <w:p w:rsidR="00772371" w:rsidRDefault="00772371" w:rsidP="00E95EC7">
      <w:pPr>
        <w:keepNext/>
        <w:tabs>
          <w:tab w:val="left" w:pos="8160"/>
        </w:tabs>
        <w:overflowPunct w:val="0"/>
        <w:autoSpaceDE w:val="0"/>
        <w:spacing w:line="100" w:lineRule="atLeast"/>
        <w:ind w:firstLine="480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sectPr w:rsidR="00772371" w:rsidSect="00E85758"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6D"/>
    <w:rsid w:val="000056E4"/>
    <w:rsid w:val="00061E0D"/>
    <w:rsid w:val="0013090F"/>
    <w:rsid w:val="00260918"/>
    <w:rsid w:val="00366CF9"/>
    <w:rsid w:val="003B6DCA"/>
    <w:rsid w:val="0048616D"/>
    <w:rsid w:val="0055701F"/>
    <w:rsid w:val="00705ABE"/>
    <w:rsid w:val="00772371"/>
    <w:rsid w:val="00856C28"/>
    <w:rsid w:val="00A2243F"/>
    <w:rsid w:val="00C90AF3"/>
    <w:rsid w:val="00CC5355"/>
    <w:rsid w:val="00D248B6"/>
    <w:rsid w:val="00E55101"/>
    <w:rsid w:val="00E95EC7"/>
    <w:rsid w:val="00EC57B9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FF789-7493-4F62-9977-B651C6C2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Danilova</dc:creator>
  <cp:lastModifiedBy>Мишарина Юлия Юрьевна</cp:lastModifiedBy>
  <cp:revision>15</cp:revision>
  <cp:lastPrinted>2022-02-25T06:09:00Z</cp:lastPrinted>
  <dcterms:created xsi:type="dcterms:W3CDTF">2022-03-03T11:18:00Z</dcterms:created>
  <dcterms:modified xsi:type="dcterms:W3CDTF">2022-05-24T05:44:00Z</dcterms:modified>
</cp:coreProperties>
</file>