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62" w:rsidRPr="00B361B4" w:rsidRDefault="00C52B2E" w:rsidP="001B3162">
      <w:pPr>
        <w:tabs>
          <w:tab w:val="left" w:pos="2595"/>
        </w:tabs>
        <w:autoSpaceDE w:val="0"/>
        <w:jc w:val="center"/>
        <w:rPr>
          <w:b/>
          <w:bCs/>
          <w:sz w:val="28"/>
          <w:szCs w:val="28"/>
          <w:lang w:eastAsia="en-US"/>
        </w:rPr>
      </w:pPr>
      <w:r>
        <w:rPr>
          <w:b/>
          <w:bCs/>
          <w:sz w:val="28"/>
          <w:szCs w:val="28"/>
          <w:lang w:eastAsia="en-US"/>
        </w:rPr>
        <w:t>Техническое задание</w:t>
      </w:r>
    </w:p>
    <w:p w:rsidR="001B3162" w:rsidRPr="003D57E7" w:rsidRDefault="001B3162" w:rsidP="001B3162">
      <w:pPr>
        <w:keepLines/>
        <w:widowControl w:val="0"/>
        <w:suppressLineNumbers/>
        <w:autoSpaceDE w:val="0"/>
        <w:jc w:val="center"/>
        <w:rPr>
          <w:b/>
        </w:rPr>
      </w:pPr>
      <w:r w:rsidRPr="008E75E3">
        <w:rPr>
          <w:b/>
        </w:rPr>
        <w:t xml:space="preserve">на поставку инвалидам </w:t>
      </w:r>
      <w:r w:rsidRPr="004864EB">
        <w:rPr>
          <w:b/>
        </w:rPr>
        <w:t>специальных средств при нарушениях функций выделения в 202</w:t>
      </w:r>
      <w:r>
        <w:rPr>
          <w:b/>
        </w:rPr>
        <w:t>2</w:t>
      </w:r>
      <w:r w:rsidRPr="004864EB">
        <w:rPr>
          <w:b/>
        </w:rPr>
        <w:t>году</w:t>
      </w:r>
    </w:p>
    <w:p w:rsidR="009F02F0" w:rsidRPr="008A4D65" w:rsidRDefault="009F02F0" w:rsidP="009F02F0">
      <w:pPr>
        <w:jc w:val="both"/>
        <w:rPr>
          <w:bCs/>
        </w:rPr>
      </w:pPr>
    </w:p>
    <w:p w:rsidR="001B3162" w:rsidRPr="005B1D85" w:rsidRDefault="001B3162" w:rsidP="001B3162">
      <w:pPr>
        <w:suppressAutoHyphens/>
        <w:ind w:firstLine="709"/>
        <w:jc w:val="both"/>
        <w:rPr>
          <w:b/>
        </w:rPr>
      </w:pPr>
      <w:r w:rsidRPr="005B1D85">
        <w:rPr>
          <w:b/>
        </w:rPr>
        <w:t>Предмет Контракта</w:t>
      </w:r>
    </w:p>
    <w:p w:rsidR="001B3162" w:rsidRPr="005B1D85" w:rsidRDefault="001B3162" w:rsidP="001B3162">
      <w:pPr>
        <w:tabs>
          <w:tab w:val="left" w:pos="708"/>
        </w:tabs>
        <w:ind w:firstLine="709"/>
        <w:jc w:val="both"/>
      </w:pPr>
      <w:r w:rsidRPr="005B1D85">
        <w:t>Поставка инвалидам специальных средств при нарушениях функций выделения в 20</w:t>
      </w:r>
      <w:r>
        <w:t>22</w:t>
      </w:r>
      <w:r w:rsidRPr="005B1D85">
        <w:t xml:space="preserve"> году.</w:t>
      </w:r>
    </w:p>
    <w:p w:rsidR="001B3162" w:rsidRPr="005B1D85" w:rsidRDefault="001B3162" w:rsidP="001B3162">
      <w:pPr>
        <w:pStyle w:val="afffff6"/>
        <w:keepNext/>
        <w:tabs>
          <w:tab w:val="left" w:pos="708"/>
        </w:tabs>
        <w:suppressAutoHyphens/>
        <w:ind w:left="0" w:firstLine="709"/>
        <w:contextualSpacing w:val="0"/>
        <w:rPr>
          <w:b/>
          <w:sz w:val="24"/>
          <w:szCs w:val="24"/>
        </w:rPr>
      </w:pPr>
      <w:r w:rsidRPr="005B1D85">
        <w:rPr>
          <w:b/>
          <w:bCs/>
          <w:sz w:val="24"/>
          <w:szCs w:val="24"/>
        </w:rPr>
        <w:t>Требования к качеству товара</w:t>
      </w:r>
    </w:p>
    <w:p w:rsidR="001B3162" w:rsidRPr="005B1D85" w:rsidRDefault="001B3162" w:rsidP="001B3162">
      <w:pPr>
        <w:tabs>
          <w:tab w:val="left" w:pos="708"/>
        </w:tabs>
        <w:ind w:firstLine="709"/>
        <w:jc w:val="both"/>
      </w:pPr>
      <w:r w:rsidRPr="005B1D85">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5B1D85" w:rsidRDefault="001B3162" w:rsidP="001B3162">
      <w:pPr>
        <w:tabs>
          <w:tab w:val="left" w:pos="708"/>
        </w:tabs>
        <w:ind w:firstLine="709"/>
        <w:jc w:val="both"/>
      </w:pPr>
      <w:r w:rsidRPr="005B1D85">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5B1D85" w:rsidRDefault="001B3162" w:rsidP="001B3162">
      <w:pPr>
        <w:tabs>
          <w:tab w:val="left" w:pos="5835"/>
        </w:tabs>
        <w:suppressAutoHyphens/>
        <w:ind w:firstLine="709"/>
        <w:rPr>
          <w:b/>
        </w:rPr>
      </w:pPr>
      <w:r w:rsidRPr="005B1D85">
        <w:rPr>
          <w:b/>
        </w:rPr>
        <w:t>Требования к безопасности товара</w:t>
      </w:r>
      <w:r>
        <w:rPr>
          <w:b/>
        </w:rPr>
        <w:tab/>
      </w:r>
    </w:p>
    <w:p w:rsidR="001B3162" w:rsidRPr="005B1D85" w:rsidRDefault="001B3162" w:rsidP="001B3162">
      <w:pPr>
        <w:tabs>
          <w:tab w:val="left" w:pos="708"/>
        </w:tabs>
        <w:ind w:firstLine="709"/>
        <w:jc w:val="both"/>
      </w:pPr>
      <w:r w:rsidRPr="005B1D85">
        <w:t xml:space="preserve">Специальные средства при нарушениях функций выделения должны соответствовать требованиям стандарта ГОСТ </w:t>
      </w:r>
      <w:r w:rsidRPr="005B1D85">
        <w:rPr>
          <w:lang w:val="en-US"/>
        </w:rPr>
        <w:t>ISO</w:t>
      </w:r>
      <w:r w:rsidR="00C52B2E">
        <w:t xml:space="preserve"> 10993-1-202</w:t>
      </w:r>
      <w:r w:rsidRPr="005B1D85">
        <w:t>1 «Изделия медицинские. Оценка биологического действия медицинских изделий. Часть 1. Оценка и исследования».</w:t>
      </w:r>
    </w:p>
    <w:p w:rsidR="001B3162" w:rsidRPr="005B1D85" w:rsidRDefault="001B3162" w:rsidP="001B3162">
      <w:pPr>
        <w:keepNext/>
        <w:ind w:firstLine="709"/>
        <w:jc w:val="both"/>
        <w:rPr>
          <w:b/>
        </w:rPr>
      </w:pPr>
      <w:r w:rsidRPr="005B1D85">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5B1D85" w:rsidRDefault="001B3162" w:rsidP="001B3162">
      <w:pPr>
        <w:suppressAutoHyphens/>
        <w:ind w:firstLine="709"/>
        <w:rPr>
          <w:b/>
        </w:rPr>
      </w:pPr>
      <w:r w:rsidRPr="005B1D85">
        <w:rPr>
          <w:b/>
        </w:rPr>
        <w:t>Требования к функциональным характеристикам товара</w:t>
      </w:r>
    </w:p>
    <w:p w:rsidR="001B3162" w:rsidRPr="005B1D85" w:rsidRDefault="001B3162" w:rsidP="001B3162">
      <w:pPr>
        <w:ind w:firstLine="709"/>
        <w:jc w:val="both"/>
      </w:pPr>
      <w:r w:rsidRPr="005B1D85">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5B1D85" w:rsidRDefault="001B3162" w:rsidP="001B3162">
      <w:pPr>
        <w:ind w:firstLine="709"/>
        <w:jc w:val="both"/>
        <w:rPr>
          <w:b/>
        </w:rPr>
      </w:pPr>
      <w:r w:rsidRPr="005B1D85">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B3162" w:rsidRPr="005B1D85" w:rsidRDefault="001B3162" w:rsidP="001B3162">
      <w:pPr>
        <w:suppressAutoHyphens/>
        <w:ind w:firstLine="709"/>
        <w:rPr>
          <w:b/>
        </w:rPr>
      </w:pPr>
      <w:r w:rsidRPr="005B1D85">
        <w:rPr>
          <w:b/>
        </w:rPr>
        <w:t xml:space="preserve">Требования к размерам, упаковке и отгрузке товара </w:t>
      </w:r>
    </w:p>
    <w:p w:rsidR="001B3162" w:rsidRPr="005B1D85" w:rsidRDefault="001B3162" w:rsidP="001B3162">
      <w:pPr>
        <w:autoSpaceDE w:val="0"/>
        <w:ind w:firstLine="709"/>
        <w:jc w:val="both"/>
      </w:pPr>
      <w:r w:rsidRPr="005B1D85">
        <w:t>Хранение должно осуществляться в соответствии с требованиями, предъявляемыми к данной категории товара.</w:t>
      </w:r>
    </w:p>
    <w:p w:rsidR="001B3162" w:rsidRPr="005B1D85" w:rsidRDefault="001B3162" w:rsidP="001B3162">
      <w:pPr>
        <w:autoSpaceDE w:val="0"/>
        <w:ind w:firstLine="709"/>
        <w:jc w:val="both"/>
      </w:pPr>
      <w:r w:rsidRPr="005B1D85">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5B1D85" w:rsidRDefault="001B3162" w:rsidP="001B3162">
      <w:pPr>
        <w:autoSpaceDE w:val="0"/>
        <w:ind w:firstLine="709"/>
        <w:jc w:val="both"/>
      </w:pPr>
      <w:r w:rsidRPr="005B1D85">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5B1D85" w:rsidRDefault="001B3162" w:rsidP="001B3162">
      <w:pPr>
        <w:keepLines/>
        <w:autoSpaceDE w:val="0"/>
        <w:ind w:firstLine="709"/>
        <w:jc w:val="both"/>
      </w:pPr>
      <w:r w:rsidRPr="005B1D85">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5B1D85" w:rsidRDefault="001B3162" w:rsidP="001B3162">
      <w:pPr>
        <w:keepLines/>
        <w:tabs>
          <w:tab w:val="left" w:pos="708"/>
        </w:tabs>
        <w:ind w:firstLine="709"/>
        <w:jc w:val="both"/>
      </w:pPr>
      <w:r w:rsidRPr="005B1D85">
        <w:t>Маркировка упаковки специальных средств при нарушениях функций выделения должна включать:</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 xml:space="preserve">условное обозначение группы изделий, товарную марку (при наличии), </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обозначение номера изделия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страну-изготовителя;</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наименование предприятия-изготовителя, юридический адрес, товарный знак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отличительные характеристики изделий в соответствии с их техническим исполнением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номер артикула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количество изделий в упаковке;</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дату (месяц, год) изготовления или гарантийный срок годности (при наличии);</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правила использования на русском языке;</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штриховой код изделия (при наличии);</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информацию о сертификации (при наличии).</w:t>
      </w:r>
    </w:p>
    <w:p w:rsidR="001B3162" w:rsidRPr="00C32ADA" w:rsidRDefault="001B3162" w:rsidP="001B3162">
      <w:pPr>
        <w:keepLines/>
        <w:autoSpaceDE w:val="0"/>
        <w:ind w:firstLine="709"/>
        <w:jc w:val="both"/>
      </w:pPr>
      <w:r w:rsidRPr="005B1D85">
        <w:lastRenderedPageBreak/>
        <w:t xml:space="preserve">Маркировка и упаковка должна осуществляться в соответствии с ГОСТ Р 50460-92 «Знак соответствия при </w:t>
      </w:r>
      <w:r w:rsidRPr="00C32ADA">
        <w:t>обязательной сертификации. Форма, размеры и технические требования».</w:t>
      </w:r>
    </w:p>
    <w:p w:rsidR="001B3162" w:rsidRPr="00C32ADA" w:rsidRDefault="001B3162" w:rsidP="001B3162">
      <w:pPr>
        <w:pStyle w:val="afffff6"/>
        <w:autoSpaceDE w:val="0"/>
        <w:ind w:left="0" w:firstLine="709"/>
        <w:rPr>
          <w:sz w:val="24"/>
          <w:szCs w:val="24"/>
        </w:rPr>
      </w:pPr>
      <w:r w:rsidRPr="00C32ADA">
        <w:rPr>
          <w:sz w:val="24"/>
          <w:szCs w:val="24"/>
        </w:rPr>
        <w:t>Должен быть указан срок годности продукции и условия хранения (остаточный срок годности на момент выдачи должен быть</w:t>
      </w:r>
      <w:r w:rsidR="00456AEF" w:rsidRPr="00C32ADA">
        <w:rPr>
          <w:sz w:val="24"/>
          <w:szCs w:val="24"/>
        </w:rPr>
        <w:t xml:space="preserve"> не менее декабря 2023</w:t>
      </w:r>
      <w:r w:rsidRPr="00C32ADA">
        <w:rPr>
          <w:sz w:val="24"/>
          <w:szCs w:val="24"/>
        </w:rPr>
        <w:t xml:space="preserve"> года).</w:t>
      </w:r>
    </w:p>
    <w:p w:rsidR="001B3162" w:rsidRPr="00C32ADA" w:rsidRDefault="001B3162" w:rsidP="001B3162">
      <w:pPr>
        <w:pStyle w:val="afffff6"/>
        <w:autoSpaceDE w:val="0"/>
        <w:ind w:left="0" w:firstLine="709"/>
        <w:rPr>
          <w:b/>
          <w:sz w:val="24"/>
          <w:szCs w:val="24"/>
        </w:rPr>
      </w:pPr>
    </w:p>
    <w:p w:rsidR="001B3162" w:rsidRPr="00C32ADA" w:rsidRDefault="001B3162" w:rsidP="001B3162">
      <w:pPr>
        <w:pStyle w:val="afffff6"/>
        <w:autoSpaceDE w:val="0"/>
        <w:ind w:left="0" w:firstLine="709"/>
        <w:rPr>
          <w:b/>
          <w:sz w:val="24"/>
          <w:szCs w:val="24"/>
        </w:rPr>
      </w:pPr>
      <w:r w:rsidRPr="00C32ADA">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C32ADA" w:rsidRDefault="001B3162" w:rsidP="001B3162">
      <w:pPr>
        <w:pStyle w:val="afffff6"/>
        <w:autoSpaceDE w:val="0"/>
        <w:ind w:left="0" w:firstLine="709"/>
        <w:rPr>
          <w:b/>
          <w:sz w:val="24"/>
          <w:szCs w:val="24"/>
        </w:rPr>
      </w:pPr>
    </w:p>
    <w:p w:rsidR="005C352D" w:rsidRPr="00C32ADA" w:rsidRDefault="005C352D" w:rsidP="005C352D">
      <w:pPr>
        <w:keepLines/>
        <w:widowControl w:val="0"/>
        <w:suppressLineNumbers/>
        <w:autoSpaceDE w:val="0"/>
        <w:jc w:val="both"/>
        <w:rPr>
          <w:b/>
        </w:rPr>
      </w:pPr>
      <w:r w:rsidRPr="00C32ADA">
        <w:rPr>
          <w:b/>
        </w:rPr>
        <w:t xml:space="preserve">Срок поставки Товара: </w:t>
      </w:r>
    </w:p>
    <w:p w:rsidR="005C352D" w:rsidRPr="00C32ADA" w:rsidRDefault="005C352D" w:rsidP="005C352D">
      <w:pPr>
        <w:keepLines/>
        <w:widowControl w:val="0"/>
        <w:suppressLineNumbers/>
        <w:autoSpaceDE w:val="0"/>
        <w:jc w:val="both"/>
        <w:rPr>
          <w:sz w:val="22"/>
          <w:szCs w:val="22"/>
        </w:rPr>
      </w:pPr>
      <w:r w:rsidRPr="00C32ADA">
        <w:rPr>
          <w:sz w:val="22"/>
          <w:szCs w:val="22"/>
        </w:rPr>
        <w:t xml:space="preserve">с даты получения от Заказчика реестра получателей Товара по </w:t>
      </w:r>
      <w:r w:rsidR="000719BD" w:rsidRPr="00C32ADA">
        <w:rPr>
          <w:sz w:val="22"/>
          <w:szCs w:val="22"/>
        </w:rPr>
        <w:t>23</w:t>
      </w:r>
      <w:r w:rsidRPr="00C32ADA">
        <w:rPr>
          <w:sz w:val="22"/>
          <w:szCs w:val="22"/>
        </w:rPr>
        <w:t>.12.2022 г. (включительно).</w:t>
      </w:r>
    </w:p>
    <w:p w:rsidR="005C352D" w:rsidRPr="00C32ADA" w:rsidRDefault="005C352D" w:rsidP="005C352D">
      <w:pPr>
        <w:keepLines/>
        <w:widowControl w:val="0"/>
        <w:suppressLineNumbers/>
        <w:autoSpaceDE w:val="0"/>
        <w:jc w:val="both"/>
        <w:rPr>
          <w:sz w:val="22"/>
          <w:szCs w:val="22"/>
        </w:rPr>
      </w:pPr>
      <w:r w:rsidRPr="00C32ADA">
        <w:rPr>
          <w:sz w:val="22"/>
          <w:szCs w:val="22"/>
        </w:rPr>
        <w:t>Поставка Товара Получателям осуществляется Поставщиком после получения от Заказчика реестра получателей Товара.</w:t>
      </w:r>
    </w:p>
    <w:p w:rsidR="005C352D" w:rsidRPr="00C32ADA" w:rsidRDefault="005C352D" w:rsidP="005C352D">
      <w:pPr>
        <w:keepLines/>
        <w:widowControl w:val="0"/>
        <w:suppressLineNumbers/>
        <w:autoSpaceDE w:val="0"/>
        <w:jc w:val="both"/>
        <w:rPr>
          <w:sz w:val="22"/>
          <w:szCs w:val="22"/>
        </w:rPr>
      </w:pPr>
      <w:r w:rsidRPr="00C32ADA">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5C352D" w:rsidRPr="00C32ADA" w:rsidRDefault="005C352D" w:rsidP="005C352D">
      <w:pPr>
        <w:widowControl w:val="0"/>
        <w:jc w:val="both"/>
        <w:rPr>
          <w:sz w:val="22"/>
          <w:szCs w:val="22"/>
        </w:rPr>
      </w:pPr>
    </w:p>
    <w:p w:rsidR="005C352D" w:rsidRPr="00C32ADA" w:rsidRDefault="005C352D" w:rsidP="005C352D">
      <w:pPr>
        <w:widowControl w:val="0"/>
        <w:jc w:val="both"/>
        <w:rPr>
          <w:sz w:val="22"/>
          <w:szCs w:val="22"/>
        </w:rPr>
      </w:pPr>
      <w:r w:rsidRPr="00C32ADA">
        <w:rPr>
          <w:sz w:val="22"/>
          <w:szCs w:val="22"/>
        </w:rPr>
        <w:t>Поставщик обязан обеспечить поступление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C32ADA" w:rsidTr="002F78C0">
        <w:tc>
          <w:tcPr>
            <w:tcW w:w="0" w:type="auto"/>
            <w:tcBorders>
              <w:top w:val="single" w:sz="8" w:space="0" w:color="000000"/>
              <w:left w:val="single" w:sz="8" w:space="0" w:color="000000"/>
              <w:bottom w:val="single" w:sz="8" w:space="0" w:color="000000"/>
              <w:right w:val="single" w:sz="8" w:space="0" w:color="000000"/>
            </w:tcBorders>
            <w:hideMark/>
          </w:tcPr>
          <w:p w:rsidR="005C352D" w:rsidRPr="00C32ADA" w:rsidRDefault="005C352D" w:rsidP="002F78C0">
            <w:pPr>
              <w:jc w:val="center"/>
              <w:rPr>
                <w:sz w:val="22"/>
                <w:szCs w:val="22"/>
              </w:rPr>
            </w:pPr>
            <w:r w:rsidRPr="00C32ADA">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5C352D" w:rsidRPr="00C32ADA" w:rsidRDefault="005C352D" w:rsidP="002F78C0">
            <w:pPr>
              <w:jc w:val="center"/>
              <w:rPr>
                <w:sz w:val="22"/>
                <w:szCs w:val="22"/>
              </w:rPr>
            </w:pPr>
            <w:r w:rsidRPr="00C32ADA">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C32ADA" w:rsidRDefault="005C352D" w:rsidP="002F78C0">
            <w:pPr>
              <w:jc w:val="center"/>
              <w:rPr>
                <w:sz w:val="22"/>
                <w:szCs w:val="22"/>
              </w:rPr>
            </w:pPr>
            <w:r w:rsidRPr="00C32ADA">
              <w:rPr>
                <w:sz w:val="22"/>
                <w:szCs w:val="22"/>
              </w:rPr>
              <w:t xml:space="preserve">Периоды (этапы) поставки на 2022 год </w:t>
            </w:r>
            <w:hyperlink w:anchor="p822" w:history="1">
              <w:r w:rsidRPr="00C32ADA">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C32ADA" w:rsidRDefault="005C352D" w:rsidP="002F78C0">
            <w:pPr>
              <w:jc w:val="center"/>
              <w:rPr>
                <w:sz w:val="22"/>
                <w:szCs w:val="22"/>
              </w:rPr>
            </w:pPr>
            <w:r w:rsidRPr="00C32ADA">
              <w:rPr>
                <w:sz w:val="22"/>
                <w:szCs w:val="22"/>
              </w:rPr>
              <w:t>Количество</w:t>
            </w:r>
          </w:p>
          <w:p w:rsidR="005C352D" w:rsidRPr="00C32ADA" w:rsidRDefault="005C352D" w:rsidP="002F78C0">
            <w:pPr>
              <w:jc w:val="center"/>
              <w:rPr>
                <w:sz w:val="22"/>
                <w:szCs w:val="22"/>
              </w:rPr>
            </w:pPr>
            <w:r w:rsidRPr="00C32ADA">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C32ADA" w:rsidRDefault="005C352D" w:rsidP="002F78C0">
            <w:pPr>
              <w:jc w:val="center"/>
              <w:rPr>
                <w:sz w:val="22"/>
                <w:szCs w:val="22"/>
              </w:rPr>
            </w:pPr>
            <w:r w:rsidRPr="00C32ADA">
              <w:rPr>
                <w:sz w:val="22"/>
                <w:szCs w:val="22"/>
              </w:rPr>
              <w:t>Стоимость</w:t>
            </w:r>
          </w:p>
          <w:p w:rsidR="005C352D" w:rsidRPr="00C32ADA" w:rsidRDefault="005C352D" w:rsidP="002F78C0">
            <w:pPr>
              <w:jc w:val="center"/>
              <w:rPr>
                <w:sz w:val="22"/>
                <w:szCs w:val="22"/>
              </w:rPr>
            </w:pPr>
            <w:r w:rsidRPr="00C32ADA">
              <w:rPr>
                <w:sz w:val="22"/>
                <w:szCs w:val="22"/>
              </w:rPr>
              <w:t>(руб. коп.)</w:t>
            </w:r>
          </w:p>
        </w:tc>
      </w:tr>
      <w:tr w:rsidR="00C8366C" w:rsidRPr="00C32ADA" w:rsidTr="00D56046">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C8366C" w:rsidRPr="00C32ADA" w:rsidRDefault="00C8366C" w:rsidP="002F78C0">
            <w:pPr>
              <w:jc w:val="center"/>
              <w:rPr>
                <w:sz w:val="18"/>
                <w:szCs w:val="18"/>
              </w:rPr>
            </w:pPr>
            <w:r w:rsidRPr="00C32ADA">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C8366C" w:rsidRPr="00C32ADA" w:rsidRDefault="0057619C" w:rsidP="000F1CC9">
            <w:pPr>
              <w:rPr>
                <w:color w:val="000000"/>
                <w:sz w:val="20"/>
                <w:szCs w:val="20"/>
              </w:rPr>
            </w:pPr>
            <w:r w:rsidRPr="00C32ADA">
              <w:rPr>
                <w:color w:val="000000"/>
                <w:sz w:val="20"/>
                <w:szCs w:val="20"/>
              </w:rPr>
              <w:t>Однокомпонентный дренируемый калоприемник со встроенной плоской пластиной</w:t>
            </w:r>
          </w:p>
          <w:p w:rsidR="00C8366C" w:rsidRPr="00C32ADA" w:rsidRDefault="0057619C" w:rsidP="000F1CC9">
            <w:pPr>
              <w:rPr>
                <w:color w:val="000000"/>
                <w:sz w:val="20"/>
                <w:szCs w:val="20"/>
              </w:rPr>
            </w:pPr>
            <w:r w:rsidRPr="00C32ADA">
              <w:rPr>
                <w:color w:val="000000"/>
                <w:sz w:val="20"/>
                <w:szCs w:val="20"/>
              </w:rPr>
              <w:t xml:space="preserve"> </w:t>
            </w:r>
          </w:p>
        </w:tc>
        <w:tc>
          <w:tcPr>
            <w:tcW w:w="2672" w:type="dxa"/>
            <w:tcBorders>
              <w:top w:val="single" w:sz="8" w:space="0" w:color="000000"/>
              <w:left w:val="single" w:sz="8" w:space="0" w:color="000000"/>
              <w:bottom w:val="single" w:sz="8" w:space="0" w:color="000000"/>
              <w:right w:val="single" w:sz="4" w:space="0" w:color="auto"/>
            </w:tcBorders>
            <w:hideMark/>
          </w:tcPr>
          <w:p w:rsidR="00C8366C" w:rsidRPr="00C32ADA" w:rsidRDefault="00C8366C" w:rsidP="00C8366C">
            <w:pPr>
              <w:jc w:val="center"/>
              <w:rPr>
                <w:sz w:val="18"/>
                <w:szCs w:val="18"/>
              </w:rPr>
            </w:pPr>
            <w:r w:rsidRPr="00C32ADA">
              <w:rPr>
                <w:sz w:val="18"/>
                <w:szCs w:val="18"/>
              </w:rPr>
              <w:t>Не позднее 10 (десяти) рабочих дней с даты заключения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C8366C" w:rsidRPr="00C32ADA" w:rsidRDefault="0057619C" w:rsidP="000F1CC9">
            <w:pPr>
              <w:jc w:val="center"/>
              <w:rPr>
                <w:color w:val="000000"/>
                <w:sz w:val="20"/>
                <w:szCs w:val="20"/>
              </w:rPr>
            </w:pPr>
            <w:r w:rsidRPr="00C32ADA">
              <w:rPr>
                <w:color w:val="000000"/>
                <w:sz w:val="20"/>
                <w:szCs w:val="20"/>
              </w:rPr>
              <w:t xml:space="preserve">5400 </w:t>
            </w:r>
          </w:p>
        </w:tc>
        <w:tc>
          <w:tcPr>
            <w:tcW w:w="1701" w:type="dxa"/>
            <w:tcBorders>
              <w:top w:val="single" w:sz="8" w:space="0" w:color="000000"/>
              <w:left w:val="single" w:sz="4" w:space="0" w:color="auto"/>
              <w:bottom w:val="single" w:sz="8" w:space="0" w:color="000000"/>
              <w:right w:val="single" w:sz="8" w:space="0" w:color="000000"/>
            </w:tcBorders>
            <w:hideMark/>
          </w:tcPr>
          <w:p w:rsidR="00C8366C" w:rsidRPr="00C32ADA" w:rsidRDefault="00C8366C" w:rsidP="002F78C0">
            <w:pPr>
              <w:rPr>
                <w:sz w:val="18"/>
                <w:szCs w:val="18"/>
              </w:rPr>
            </w:pPr>
            <w:r w:rsidRPr="00C32ADA">
              <w:rPr>
                <w:sz w:val="18"/>
                <w:szCs w:val="18"/>
              </w:rPr>
              <w:t> </w:t>
            </w:r>
          </w:p>
        </w:tc>
      </w:tr>
      <w:tr w:rsidR="00C8366C" w:rsidRPr="00C32ADA"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C8366C" w:rsidRPr="00C32ADA" w:rsidRDefault="00C8366C" w:rsidP="002F78C0">
            <w:pPr>
              <w:rPr>
                <w:b/>
                <w:sz w:val="18"/>
                <w:szCs w:val="18"/>
              </w:rPr>
            </w:pPr>
            <w:r w:rsidRPr="00C32ADA">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C8366C" w:rsidRPr="00C32ADA" w:rsidRDefault="00C8366C" w:rsidP="0057619C">
            <w:pPr>
              <w:tabs>
                <w:tab w:val="left" w:pos="765"/>
                <w:tab w:val="center" w:pos="922"/>
              </w:tabs>
              <w:rPr>
                <w:b/>
                <w:color w:val="000000"/>
                <w:sz w:val="18"/>
                <w:szCs w:val="18"/>
              </w:rPr>
            </w:pPr>
            <w:r w:rsidRPr="00C32ADA">
              <w:rPr>
                <w:b/>
                <w:bCs/>
                <w:color w:val="000000"/>
                <w:sz w:val="18"/>
                <w:szCs w:val="18"/>
              </w:rPr>
              <w:tab/>
            </w:r>
            <w:r w:rsidR="0057619C" w:rsidRPr="00C32ADA">
              <w:rPr>
                <w:b/>
                <w:bCs/>
                <w:color w:val="000000"/>
                <w:sz w:val="18"/>
                <w:szCs w:val="18"/>
              </w:rPr>
              <w:t>5400</w:t>
            </w:r>
          </w:p>
        </w:tc>
        <w:tc>
          <w:tcPr>
            <w:tcW w:w="1701" w:type="dxa"/>
            <w:tcBorders>
              <w:top w:val="single" w:sz="8" w:space="0" w:color="000000"/>
              <w:left w:val="single" w:sz="8" w:space="0" w:color="000000"/>
              <w:bottom w:val="single" w:sz="8" w:space="0" w:color="000000"/>
              <w:right w:val="single" w:sz="8" w:space="0" w:color="000000"/>
            </w:tcBorders>
            <w:hideMark/>
          </w:tcPr>
          <w:p w:rsidR="00C8366C" w:rsidRPr="00C32ADA" w:rsidRDefault="00C8366C" w:rsidP="002F78C0">
            <w:pPr>
              <w:rPr>
                <w:b/>
                <w:sz w:val="18"/>
                <w:szCs w:val="18"/>
              </w:rPr>
            </w:pPr>
            <w:r w:rsidRPr="00C32ADA">
              <w:rPr>
                <w:b/>
                <w:sz w:val="18"/>
                <w:szCs w:val="18"/>
              </w:rPr>
              <w:t> </w:t>
            </w:r>
          </w:p>
        </w:tc>
      </w:tr>
    </w:tbl>
    <w:p w:rsidR="005C352D" w:rsidRPr="00C32ADA" w:rsidRDefault="005C352D" w:rsidP="005C352D">
      <w:pPr>
        <w:widowControl w:val="0"/>
        <w:rPr>
          <w:sz w:val="22"/>
          <w:szCs w:val="22"/>
        </w:rPr>
      </w:pPr>
    </w:p>
    <w:p w:rsidR="005C352D" w:rsidRPr="00C32ADA" w:rsidRDefault="005C352D" w:rsidP="005C352D">
      <w:pPr>
        <w:widowControl w:val="0"/>
        <w:rPr>
          <w:b/>
          <w:iCs/>
          <w:color w:val="000000"/>
          <w:sz w:val="22"/>
          <w:szCs w:val="22"/>
        </w:rPr>
      </w:pPr>
      <w:r w:rsidRPr="00C32ADA">
        <w:rPr>
          <w:b/>
          <w:iCs/>
          <w:color w:val="000000"/>
          <w:sz w:val="22"/>
          <w:szCs w:val="22"/>
        </w:rPr>
        <w:t>Место, условия, и сроки (периоды) поставки</w:t>
      </w:r>
    </w:p>
    <w:p w:rsidR="005C352D" w:rsidRPr="00C32ADA" w:rsidRDefault="005C352D" w:rsidP="005C352D">
      <w:pPr>
        <w:spacing w:line="240" w:lineRule="atLeast"/>
        <w:jc w:val="both"/>
        <w:rPr>
          <w:rFonts w:eastAsia="Andale Sans UI"/>
          <w:kern w:val="3"/>
          <w:sz w:val="22"/>
          <w:szCs w:val="22"/>
          <w:lang w:eastAsia="ja-JP" w:bidi="fa-IR"/>
        </w:rPr>
      </w:pPr>
      <w:r w:rsidRPr="00C32ADA">
        <w:rPr>
          <w:rFonts w:eastAsia="Andale Sans UI"/>
          <w:kern w:val="3"/>
          <w:sz w:val="22"/>
          <w:szCs w:val="22"/>
          <w:lang w:eastAsia="ja-JP" w:bidi="fa-IR"/>
        </w:rPr>
        <w:t>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w:t>
      </w:r>
      <w:r w:rsidR="000719BD" w:rsidRPr="00C32ADA">
        <w:rPr>
          <w:rFonts w:eastAsia="Andale Sans UI"/>
          <w:kern w:val="3"/>
          <w:sz w:val="22"/>
          <w:szCs w:val="22"/>
          <w:lang w:eastAsia="ja-JP" w:bidi="fa-IR"/>
        </w:rPr>
        <w:t>ние 7 календарных дней (но до 23</w:t>
      </w:r>
      <w:r w:rsidRPr="00C32ADA">
        <w:rPr>
          <w:rFonts w:eastAsia="Andale Sans UI"/>
          <w:kern w:val="3"/>
          <w:sz w:val="22"/>
          <w:szCs w:val="22"/>
          <w:lang w:eastAsia="ja-JP" w:bidi="fa-IR"/>
        </w:rPr>
        <w:t xml:space="preserve">.12.2022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5C352D" w:rsidRPr="00C32ADA" w:rsidRDefault="005C352D" w:rsidP="005C352D">
      <w:pPr>
        <w:jc w:val="both"/>
        <w:rPr>
          <w:sz w:val="22"/>
          <w:szCs w:val="22"/>
        </w:rPr>
      </w:pPr>
      <w:r w:rsidRPr="00C32ADA">
        <w:rPr>
          <w:sz w:val="22"/>
          <w:szCs w:val="22"/>
        </w:rPr>
        <w:t xml:space="preserve">Поставка Товара осуществляется в соответствии с выбором Получателей: </w:t>
      </w:r>
    </w:p>
    <w:p w:rsidR="005C352D" w:rsidRPr="00C32ADA" w:rsidRDefault="005C352D" w:rsidP="005C352D">
      <w:pPr>
        <w:jc w:val="both"/>
        <w:rPr>
          <w:sz w:val="22"/>
          <w:szCs w:val="22"/>
        </w:rPr>
      </w:pPr>
      <w:r w:rsidRPr="00C32ADA">
        <w:rPr>
          <w:sz w:val="22"/>
          <w:szCs w:val="22"/>
        </w:rPr>
        <w:t xml:space="preserve">1. По месту нахождения пунктов выдачи, организованных Поставщиком, в день обращения Получателя, но </w:t>
      </w:r>
      <w:r w:rsidR="000719BD" w:rsidRPr="00C32ADA">
        <w:rPr>
          <w:b/>
          <w:sz w:val="22"/>
          <w:szCs w:val="22"/>
        </w:rPr>
        <w:t>до 23.</w:t>
      </w:r>
      <w:r w:rsidRPr="00C32ADA">
        <w:rPr>
          <w:b/>
          <w:sz w:val="22"/>
          <w:szCs w:val="22"/>
        </w:rPr>
        <w:t>12.2022 года</w:t>
      </w:r>
      <w:r w:rsidRPr="00C32ADA">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5C352D" w:rsidRPr="00C32ADA" w:rsidRDefault="005C352D" w:rsidP="005C352D">
      <w:pPr>
        <w:tabs>
          <w:tab w:val="left" w:pos="1200"/>
        </w:tabs>
        <w:ind w:firstLine="702"/>
        <w:jc w:val="both"/>
        <w:rPr>
          <w:sz w:val="22"/>
          <w:szCs w:val="22"/>
        </w:rPr>
      </w:pPr>
      <w:r w:rsidRPr="00C32ADA">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2D" w:rsidRPr="00C32ADA" w:rsidRDefault="005C352D" w:rsidP="005C352D">
      <w:pPr>
        <w:tabs>
          <w:tab w:val="left" w:pos="1200"/>
        </w:tabs>
        <w:ind w:left="702"/>
        <w:jc w:val="both"/>
        <w:rPr>
          <w:sz w:val="22"/>
          <w:szCs w:val="22"/>
        </w:rPr>
      </w:pPr>
      <w:r w:rsidRPr="00C32ADA">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5C352D" w:rsidRPr="00C32ADA" w:rsidRDefault="005C352D" w:rsidP="005C352D">
      <w:pPr>
        <w:widowControl w:val="0"/>
        <w:jc w:val="both"/>
        <w:rPr>
          <w:sz w:val="22"/>
          <w:szCs w:val="22"/>
        </w:rPr>
      </w:pPr>
      <w:r w:rsidRPr="00C32ADA">
        <w:rPr>
          <w:sz w:val="22"/>
          <w:szCs w:val="22"/>
        </w:rPr>
        <w:t xml:space="preserve">2. По месту жительства получателя в течение 30 (Тридцати) календарных дней с момента получения </w:t>
      </w:r>
      <w:r w:rsidRPr="00C32ADA">
        <w:rPr>
          <w:sz w:val="22"/>
          <w:szCs w:val="22"/>
        </w:rPr>
        <w:lastRenderedPageBreak/>
        <w:t xml:space="preserve">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0719BD" w:rsidRPr="00C32ADA">
        <w:rPr>
          <w:b/>
          <w:sz w:val="22"/>
          <w:szCs w:val="22"/>
        </w:rPr>
        <w:t>до 23</w:t>
      </w:r>
      <w:r w:rsidRPr="00C32ADA">
        <w:rPr>
          <w:b/>
          <w:sz w:val="22"/>
          <w:szCs w:val="22"/>
        </w:rPr>
        <w:t>.12.2022 года:</w:t>
      </w:r>
      <w:r w:rsidRPr="00C32ADA">
        <w:rPr>
          <w:sz w:val="22"/>
          <w:szCs w:val="22"/>
        </w:rPr>
        <w:t xml:space="preserve"> Калининградская область. </w:t>
      </w:r>
    </w:p>
    <w:p w:rsidR="005C352D" w:rsidRPr="00C32ADA" w:rsidRDefault="005C352D" w:rsidP="005C352D">
      <w:pPr>
        <w:spacing w:line="240" w:lineRule="atLeast"/>
        <w:jc w:val="both"/>
        <w:rPr>
          <w:sz w:val="22"/>
          <w:szCs w:val="22"/>
          <w:lang w:eastAsia="en-US"/>
        </w:rPr>
      </w:pPr>
      <w:r w:rsidRPr="00C32ADA">
        <w:rPr>
          <w:sz w:val="22"/>
          <w:szCs w:val="22"/>
        </w:rPr>
        <w:t>Срок поступления товара в Калининградскую область указан в Календарном плане.</w:t>
      </w:r>
    </w:p>
    <w:p w:rsidR="005C352D" w:rsidRPr="00C32ADA" w:rsidRDefault="005C352D" w:rsidP="005C352D">
      <w:pPr>
        <w:spacing w:line="240" w:lineRule="atLeast"/>
        <w:jc w:val="both"/>
        <w:rPr>
          <w:rFonts w:eastAsia="Andale Sans UI" w:cs="Tahoma"/>
          <w:kern w:val="3"/>
          <w:sz w:val="22"/>
          <w:szCs w:val="22"/>
          <w:lang w:eastAsia="ja-JP" w:bidi="fa-IR"/>
        </w:rPr>
      </w:pPr>
      <w:r w:rsidRPr="00C32ADA">
        <w:rPr>
          <w:rFonts w:eastAsia="Andale Sans UI" w:cs="Tahoma"/>
          <w:kern w:val="3"/>
          <w:sz w:val="22"/>
          <w:szCs w:val="22"/>
          <w:lang w:eastAsia="ja-JP" w:bidi="fa-IR"/>
        </w:rPr>
        <w:t>Срок действия государственного контракта до 30.12.2022 года.</w:t>
      </w:r>
    </w:p>
    <w:p w:rsidR="005C352D" w:rsidRPr="00C32ADA" w:rsidRDefault="005C352D" w:rsidP="005C352D">
      <w:pPr>
        <w:widowControl w:val="0"/>
        <w:jc w:val="both"/>
      </w:pPr>
      <w:r w:rsidRPr="00C32ADA">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C32ADA">
        <w:t xml:space="preserve"> с действующим законодательством Российской Федерации.</w:t>
      </w:r>
    </w:p>
    <w:p w:rsidR="005C352D" w:rsidRPr="00C32ADA" w:rsidRDefault="005C352D" w:rsidP="005C352D">
      <w:pPr>
        <w:rPr>
          <w:b/>
          <w:sz w:val="28"/>
          <w:szCs w:val="28"/>
        </w:rPr>
      </w:pPr>
    </w:p>
    <w:p w:rsidR="001B3162" w:rsidRPr="00C32ADA" w:rsidRDefault="001B3162" w:rsidP="001B3162">
      <w:pPr>
        <w:widowControl w:val="0"/>
        <w:jc w:val="both"/>
        <w:rPr>
          <w:b/>
          <w:sz w:val="28"/>
          <w:szCs w:val="28"/>
        </w:rPr>
      </w:pPr>
      <w:r w:rsidRPr="00C32ADA">
        <w:rPr>
          <w:b/>
        </w:rPr>
        <w:t>Технические, функциональные, качественные и эксплуатационные характеристики Товара (конкретные показатели)</w:t>
      </w:r>
    </w:p>
    <w:p w:rsidR="001B3162" w:rsidRPr="00C32ADA"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C32ADA" w:rsidTr="00BB06FB">
        <w:tc>
          <w:tcPr>
            <w:tcW w:w="2127" w:type="dxa"/>
            <w:shd w:val="clear" w:color="auto" w:fill="auto"/>
          </w:tcPr>
          <w:p w:rsidR="001B3162" w:rsidRPr="00C32ADA" w:rsidRDefault="001B3162" w:rsidP="002F78C0">
            <w:pPr>
              <w:jc w:val="center"/>
              <w:rPr>
                <w:b/>
                <w:sz w:val="20"/>
                <w:szCs w:val="20"/>
              </w:rPr>
            </w:pPr>
            <w:r w:rsidRPr="00C32ADA">
              <w:rPr>
                <w:b/>
                <w:sz w:val="20"/>
                <w:szCs w:val="20"/>
              </w:rPr>
              <w:t>Наименование Товара</w:t>
            </w:r>
          </w:p>
        </w:tc>
        <w:tc>
          <w:tcPr>
            <w:tcW w:w="6804" w:type="dxa"/>
            <w:shd w:val="clear" w:color="auto" w:fill="auto"/>
          </w:tcPr>
          <w:p w:rsidR="001B3162" w:rsidRPr="00C32ADA" w:rsidRDefault="001B3162" w:rsidP="002F78C0">
            <w:pPr>
              <w:jc w:val="center"/>
              <w:rPr>
                <w:b/>
                <w:sz w:val="20"/>
                <w:szCs w:val="20"/>
              </w:rPr>
            </w:pPr>
            <w:r w:rsidRPr="00C32ADA">
              <w:rPr>
                <w:b/>
                <w:sz w:val="20"/>
                <w:szCs w:val="20"/>
              </w:rPr>
              <w:t>Технические, функциональные, качественные и эксплуатационные характеристики Товара</w:t>
            </w:r>
          </w:p>
        </w:tc>
        <w:tc>
          <w:tcPr>
            <w:tcW w:w="1589" w:type="dxa"/>
          </w:tcPr>
          <w:p w:rsidR="001B3162" w:rsidRPr="00C32ADA" w:rsidRDefault="001B3162" w:rsidP="002F78C0">
            <w:pPr>
              <w:jc w:val="center"/>
              <w:rPr>
                <w:b/>
                <w:sz w:val="20"/>
                <w:szCs w:val="20"/>
              </w:rPr>
            </w:pPr>
            <w:r w:rsidRPr="00C32ADA">
              <w:rPr>
                <w:b/>
                <w:sz w:val="20"/>
                <w:szCs w:val="20"/>
              </w:rPr>
              <w:t>Количество Товара, шт.</w:t>
            </w:r>
          </w:p>
        </w:tc>
      </w:tr>
      <w:tr w:rsidR="00A65187" w:rsidRPr="00C32ADA" w:rsidTr="009D7428">
        <w:tc>
          <w:tcPr>
            <w:tcW w:w="2127" w:type="dxa"/>
            <w:shd w:val="clear" w:color="auto" w:fill="auto"/>
            <w:vAlign w:val="center"/>
          </w:tcPr>
          <w:p w:rsidR="00A65187" w:rsidRPr="00C32ADA" w:rsidRDefault="00A65187" w:rsidP="000F1CC9">
            <w:pPr>
              <w:rPr>
                <w:color w:val="000000"/>
                <w:sz w:val="20"/>
                <w:szCs w:val="20"/>
              </w:rPr>
            </w:pPr>
            <w:r w:rsidRPr="00C32ADA">
              <w:rPr>
                <w:color w:val="000000"/>
                <w:sz w:val="20"/>
                <w:szCs w:val="20"/>
              </w:rPr>
              <w:t>Однокомпонентный дренируемый калоприемник со встроенной плоской пластиной</w:t>
            </w:r>
          </w:p>
        </w:tc>
        <w:tc>
          <w:tcPr>
            <w:tcW w:w="6804" w:type="dxa"/>
            <w:shd w:val="clear" w:color="auto" w:fill="auto"/>
            <w:vAlign w:val="center"/>
          </w:tcPr>
          <w:p w:rsidR="00A65187" w:rsidRPr="00C32ADA" w:rsidRDefault="00A65187" w:rsidP="000F1CC9">
            <w:pPr>
              <w:jc w:val="both"/>
              <w:rPr>
                <w:sz w:val="20"/>
                <w:szCs w:val="20"/>
              </w:rPr>
            </w:pPr>
            <w:r w:rsidRPr="00C32ADA">
              <w:rPr>
                <w:sz w:val="20"/>
                <w:szCs w:val="20"/>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589" w:type="dxa"/>
            <w:vAlign w:val="center"/>
          </w:tcPr>
          <w:p w:rsidR="00A65187" w:rsidRPr="00C32ADA" w:rsidRDefault="00A65187" w:rsidP="000F1CC9">
            <w:pPr>
              <w:jc w:val="center"/>
              <w:rPr>
                <w:color w:val="000000"/>
                <w:sz w:val="20"/>
                <w:szCs w:val="20"/>
              </w:rPr>
            </w:pPr>
            <w:r w:rsidRPr="00C32ADA">
              <w:rPr>
                <w:color w:val="000000"/>
                <w:sz w:val="20"/>
                <w:szCs w:val="20"/>
              </w:rPr>
              <w:t>5400</w:t>
            </w:r>
          </w:p>
        </w:tc>
      </w:tr>
      <w:tr w:rsidR="00A65187" w:rsidRPr="00763578" w:rsidTr="00BB06FB">
        <w:tc>
          <w:tcPr>
            <w:tcW w:w="2127" w:type="dxa"/>
            <w:shd w:val="clear" w:color="auto" w:fill="auto"/>
            <w:vAlign w:val="center"/>
          </w:tcPr>
          <w:p w:rsidR="00A65187" w:rsidRPr="00C32ADA" w:rsidRDefault="00A65187" w:rsidP="002F78C0">
            <w:pPr>
              <w:rPr>
                <w:color w:val="000000"/>
                <w:sz w:val="20"/>
                <w:szCs w:val="20"/>
              </w:rPr>
            </w:pPr>
            <w:r w:rsidRPr="00C32ADA">
              <w:rPr>
                <w:b/>
                <w:color w:val="000000"/>
              </w:rPr>
              <w:t>ИТОГО</w:t>
            </w:r>
          </w:p>
        </w:tc>
        <w:tc>
          <w:tcPr>
            <w:tcW w:w="6804" w:type="dxa"/>
            <w:shd w:val="clear" w:color="auto" w:fill="auto"/>
            <w:vAlign w:val="bottom"/>
          </w:tcPr>
          <w:p w:rsidR="00A65187" w:rsidRPr="00C32ADA" w:rsidRDefault="00A65187" w:rsidP="002F78C0">
            <w:pPr>
              <w:rPr>
                <w:sz w:val="20"/>
                <w:szCs w:val="20"/>
              </w:rPr>
            </w:pPr>
          </w:p>
        </w:tc>
        <w:tc>
          <w:tcPr>
            <w:tcW w:w="1589" w:type="dxa"/>
            <w:vAlign w:val="center"/>
          </w:tcPr>
          <w:p w:rsidR="00A65187" w:rsidRPr="00CC69DF" w:rsidRDefault="00A65187" w:rsidP="002F78C0">
            <w:pPr>
              <w:jc w:val="center"/>
              <w:rPr>
                <w:b/>
                <w:bCs/>
                <w:color w:val="000000"/>
              </w:rPr>
            </w:pPr>
            <w:r w:rsidRPr="00C32ADA">
              <w:rPr>
                <w:b/>
                <w:bCs/>
                <w:color w:val="000000"/>
              </w:rPr>
              <w:t>5400</w:t>
            </w:r>
            <w:r>
              <w:rPr>
                <w:b/>
                <w:bCs/>
                <w:color w:val="000000"/>
              </w:rPr>
              <w:t xml:space="preserve"> </w:t>
            </w:r>
          </w:p>
        </w:tc>
      </w:tr>
    </w:tbl>
    <w:p w:rsidR="001B3162" w:rsidRPr="003D51DE" w:rsidRDefault="001B3162" w:rsidP="001B3162">
      <w:pPr>
        <w:widowControl w:val="0"/>
        <w:jc w:val="both"/>
      </w:pPr>
      <w:bookmarkStart w:id="0" w:name="_GoBack"/>
      <w:bookmarkEnd w:id="0"/>
    </w:p>
    <w:sectPr w:rsidR="001B3162" w:rsidRPr="003D51DE"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2A" w:rsidRDefault="00A17F2A">
      <w:r>
        <w:separator/>
      </w:r>
    </w:p>
  </w:endnote>
  <w:endnote w:type="continuationSeparator" w:id="0">
    <w:p w:rsidR="00A17F2A" w:rsidRDefault="00A1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C526E2">
        <w:pPr>
          <w:pStyle w:val="af3"/>
          <w:jc w:val="right"/>
        </w:pPr>
        <w:r>
          <w:fldChar w:fldCharType="begin"/>
        </w:r>
        <w:r w:rsidR="008E6500">
          <w:instrText>PAGE   \* MERGEFORMAT</w:instrText>
        </w:r>
        <w:r>
          <w:fldChar w:fldCharType="separate"/>
        </w:r>
        <w:r w:rsidR="00C32ADA">
          <w:rPr>
            <w:noProof/>
          </w:rPr>
          <w:t>2</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2A" w:rsidRDefault="00A17F2A">
      <w:r>
        <w:separator/>
      </w:r>
    </w:p>
  </w:footnote>
  <w:footnote w:type="continuationSeparator" w:id="0">
    <w:p w:rsidR="00A17F2A" w:rsidRDefault="00A1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90AA8"/>
    <w:rsid w:val="0019109D"/>
    <w:rsid w:val="00191FCC"/>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2D"/>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2A"/>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E5"/>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AD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B2E"/>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5F13"/>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C91C1-97DA-4F44-B142-25ACCEEC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4B00-5D36-4A01-BCEE-DEB7B3C0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6</cp:revision>
  <cp:lastPrinted>2019-09-18T06:57:00Z</cp:lastPrinted>
  <dcterms:created xsi:type="dcterms:W3CDTF">2022-09-29T14:05:00Z</dcterms:created>
  <dcterms:modified xsi:type="dcterms:W3CDTF">2022-09-30T11:12:00Z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