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BA19FC" w:rsidRDefault="00901ADA" w:rsidP="00BA19FC">
      <w:pPr>
        <w:pStyle w:val="Style8"/>
        <w:widowControl/>
        <w:spacing w:before="67"/>
        <w:jc w:val="center"/>
        <w:rPr>
          <w:rStyle w:val="FontStyle64"/>
        </w:rPr>
      </w:pPr>
      <w:r>
        <w:rPr>
          <w:rStyle w:val="FontStyle64"/>
        </w:rPr>
        <w:lastRenderedPageBreak/>
        <w:t>Техническое задание</w:t>
      </w:r>
    </w:p>
    <w:p w:rsidR="00901ADA" w:rsidRDefault="00901ADA" w:rsidP="00BA19FC">
      <w:pPr>
        <w:pStyle w:val="Style8"/>
        <w:widowControl/>
        <w:spacing w:before="67"/>
        <w:jc w:val="center"/>
        <w:rPr>
          <w:rStyle w:val="FontStyle64"/>
        </w:rPr>
      </w:pPr>
    </w:p>
    <w:p w:rsidR="00901ADA" w:rsidRDefault="00901ADA" w:rsidP="00BA19FC">
      <w:pPr>
        <w:pStyle w:val="Style8"/>
        <w:widowControl/>
        <w:spacing w:before="67"/>
        <w:jc w:val="center"/>
        <w:rPr>
          <w:rStyle w:val="FontStyle64"/>
        </w:rPr>
        <w:sectPr w:rsidR="00901ADA" w:rsidSect="00C36DDD">
          <w:headerReference w:type="even" r:id="rId11"/>
          <w:headerReference w:type="default" r:id="rId12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740045" w:rsidRDefault="00BA19FC" w:rsidP="00740045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740045" w:rsidRPr="003A30DD">
        <w:rPr>
          <w:bCs/>
          <w:sz w:val="26"/>
          <w:szCs w:val="26"/>
        </w:rPr>
        <w:t xml:space="preserve">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профилям </w:t>
      </w:r>
      <w:r w:rsidR="00740045" w:rsidRPr="003A30DD">
        <w:rPr>
          <w:sz w:val="26"/>
          <w:szCs w:val="26"/>
        </w:rPr>
        <w:t>«Болезни системы кровообращения», «Болезни органов пищеварения»</w:t>
      </w:r>
      <w:r w:rsidR="00740045" w:rsidRPr="003A30DD">
        <w:rPr>
          <w:bCs/>
          <w:sz w:val="26"/>
          <w:szCs w:val="26"/>
        </w:rPr>
        <w:t xml:space="preserve">, </w:t>
      </w:r>
      <w:r w:rsidR="00740045" w:rsidRPr="003A30DD">
        <w:rPr>
          <w:sz w:val="26"/>
          <w:szCs w:val="26"/>
        </w:rPr>
        <w:t>«Болезни эндокринной системы, расстройства питания и нарушения обмена веществ», «Болезни мочеполовой системы»</w:t>
      </w:r>
      <w:r w:rsidR="00740045" w:rsidRPr="00A15FE2">
        <w:rPr>
          <w:sz w:val="26"/>
          <w:szCs w:val="26"/>
        </w:rPr>
        <w:t xml:space="preserve"> </w:t>
      </w:r>
      <w:r w:rsidR="00740045">
        <w:rPr>
          <w:sz w:val="26"/>
          <w:szCs w:val="26"/>
        </w:rPr>
        <w:t>и сопровождающих их лиц</w:t>
      </w:r>
      <w:r w:rsidR="00740045" w:rsidRPr="00A15FE2">
        <w:rPr>
          <w:sz w:val="26"/>
          <w:szCs w:val="26"/>
        </w:rPr>
        <w:t>.</w:t>
      </w:r>
    </w:p>
    <w:p w:rsidR="00137F04" w:rsidRPr="00C02EF4" w:rsidRDefault="00137F04" w:rsidP="00740045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137F04" w:rsidRPr="00137F04" w:rsidRDefault="00C5112C" w:rsidP="00137F04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 xml:space="preserve">КОЗ - 02.35.21.03.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740045" w:rsidRPr="00296E69" w:rsidRDefault="00740045" w:rsidP="00740045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740045" w:rsidRDefault="00740045" w:rsidP="00740045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</w:t>
      </w:r>
      <w:r>
        <w:rPr>
          <w:sz w:val="26"/>
          <w:szCs w:val="26"/>
        </w:rPr>
        <w:t>влением»;</w:t>
      </w:r>
    </w:p>
    <w:p w:rsidR="00740045" w:rsidRPr="00F92F44" w:rsidRDefault="00740045" w:rsidP="00740045">
      <w:pPr>
        <w:autoSpaceDN w:val="0"/>
        <w:spacing w:line="240" w:lineRule="auto"/>
        <w:ind w:firstLine="692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-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 xml:space="preserve">№ 278 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от 23.11.2004 г.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>;</w:t>
      </w:r>
    </w:p>
    <w:p w:rsidR="00740045" w:rsidRPr="00FA6501" w:rsidRDefault="00740045" w:rsidP="00740045">
      <w:pPr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A6501">
        <w:rPr>
          <w:sz w:val="26"/>
          <w:szCs w:val="26"/>
        </w:rPr>
        <w:t xml:space="preserve">№ 220 от 22.11.2004 г. «Об утверждении стандарта санаторно-курортной помощи больным сахарным диабетом»; </w:t>
      </w:r>
    </w:p>
    <w:p w:rsidR="00740045" w:rsidRDefault="00740045" w:rsidP="00740045">
      <w:pPr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A6501">
        <w:rPr>
          <w:sz w:val="26"/>
          <w:szCs w:val="26"/>
        </w:rPr>
        <w:t>№ 224 от 22.11.2004 г.  «Об утверждении стандарта санаторно-курортной помощи больным</w:t>
      </w:r>
      <w:r>
        <w:rPr>
          <w:sz w:val="26"/>
          <w:szCs w:val="26"/>
        </w:rPr>
        <w:t xml:space="preserve"> с болезнями щитовидной железы»;</w:t>
      </w:r>
    </w:p>
    <w:p w:rsidR="00740045" w:rsidRDefault="00740045" w:rsidP="00740045">
      <w:pPr>
        <w:spacing w:line="240" w:lineRule="auto"/>
        <w:ind w:firstLine="692"/>
        <w:rPr>
          <w:rFonts w:eastAsia="Lucida Sans Unicode"/>
          <w:bCs/>
          <w:kern w:val="2"/>
          <w:sz w:val="26"/>
          <w:szCs w:val="26"/>
          <w:lang w:eastAsia="ru-RU"/>
        </w:rPr>
      </w:pP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-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 xml:space="preserve">№ 277 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от 23.11.2004 г.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«Об утверждении стандарта санаторно-курортной помощи больным с болезнями печени, желчного пузыря, желчевыводя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>щих путей поджелудочной железы»;</w:t>
      </w:r>
    </w:p>
    <w:p w:rsidR="00740045" w:rsidRPr="00877E3B" w:rsidRDefault="00740045" w:rsidP="00740045">
      <w:pPr>
        <w:shd w:val="clear" w:color="auto" w:fill="FFFFFF"/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877E3B">
        <w:rPr>
          <w:color w:val="000000"/>
          <w:spacing w:val="-6"/>
          <w:sz w:val="26"/>
          <w:szCs w:val="26"/>
        </w:rPr>
        <w:t>- № 210 от 22.11.2004 «Об утверждении стандарта санаторно-курортной помощи больным мочекаменной болезнью и другими болезнями мочевой системы»;</w:t>
      </w:r>
    </w:p>
    <w:p w:rsidR="00740045" w:rsidRPr="00877E3B" w:rsidRDefault="00740045" w:rsidP="00740045">
      <w:pPr>
        <w:shd w:val="clear" w:color="auto" w:fill="FFFFFF"/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877E3B">
        <w:rPr>
          <w:color w:val="000000"/>
          <w:spacing w:val="-6"/>
          <w:sz w:val="26"/>
          <w:szCs w:val="26"/>
        </w:rPr>
        <w:t>- № 216 от 22.11.2004 «Об утверждении стандарта санаторно-курортной помощи больным с болезнями мужских половых органов»;</w:t>
      </w:r>
    </w:p>
    <w:p w:rsidR="00740045" w:rsidRPr="00F42E07" w:rsidRDefault="00740045" w:rsidP="00740045">
      <w:pPr>
        <w:suppressAutoHyphens w:val="0"/>
        <w:autoSpaceDN w:val="0"/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BA2CA2">
        <w:rPr>
          <w:color w:val="000000"/>
          <w:spacing w:val="-6"/>
          <w:sz w:val="26"/>
          <w:szCs w:val="26"/>
        </w:rPr>
        <w:t>- № 218 от 22.11.2004 «Об утверждении стандарта санаторно-курортной помощи больным с болезнями женских тазовых органов, невоспалительными бол</w:t>
      </w:r>
      <w:r>
        <w:rPr>
          <w:color w:val="000000"/>
          <w:spacing w:val="-6"/>
          <w:sz w:val="26"/>
          <w:szCs w:val="26"/>
        </w:rPr>
        <w:t>езнями женских половых органов».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740045" w:rsidRPr="00F6408C">
        <w:rPr>
          <w:b/>
          <w:sz w:val="26"/>
          <w:szCs w:val="26"/>
        </w:rPr>
        <w:t>«Болезни системы кровообращения», «Болезни органов пищеварения», «Болезни эндокринной системы, расстройства питания и нарушения обмена веществ», «Болезни мочеполовой системы»</w:t>
      </w:r>
      <w:r w:rsidR="00740045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r w:rsidR="00740045" w:rsidRPr="00F6408C">
        <w:rPr>
          <w:b/>
          <w:sz w:val="26"/>
          <w:szCs w:val="26"/>
        </w:rPr>
        <w:t>«кардиология»,</w:t>
      </w:r>
      <w:r w:rsidR="00740045" w:rsidRPr="00F6408C">
        <w:rPr>
          <w:rFonts w:eastAsia="Lucida Sans Unicode"/>
          <w:b/>
          <w:bCs/>
          <w:kern w:val="2"/>
          <w:sz w:val="26"/>
          <w:szCs w:val="26"/>
          <w:lang w:eastAsia="ru-RU"/>
        </w:rPr>
        <w:t xml:space="preserve"> «гастроэнтерология»</w:t>
      </w:r>
      <w:r w:rsidR="00740045" w:rsidRPr="00F6408C">
        <w:rPr>
          <w:b/>
          <w:sz w:val="26"/>
          <w:szCs w:val="26"/>
        </w:rPr>
        <w:t>, «эндокринология», «урология»</w:t>
      </w:r>
      <w:r w:rsidR="00A15FE2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</w:t>
      </w:r>
      <w:bookmarkStart w:id="0" w:name="_GoBack"/>
      <w:bookmarkEnd w:id="0"/>
      <w:r w:rsidRPr="00EE5A4F">
        <w:rPr>
          <w:sz w:val="26"/>
          <w:szCs w:val="26"/>
        </w:rPr>
        <w:t xml:space="preserve">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740045" w:rsidRPr="00EE5A4F" w:rsidRDefault="00BA19FC" w:rsidP="00740045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740045">
        <w:rPr>
          <w:sz w:val="26"/>
          <w:szCs w:val="26"/>
        </w:rPr>
        <w:t>3600</w:t>
      </w:r>
      <w:r w:rsidR="00740045" w:rsidRPr="00EE5A4F">
        <w:rPr>
          <w:sz w:val="26"/>
          <w:szCs w:val="26"/>
        </w:rPr>
        <w:t xml:space="preserve"> (</w:t>
      </w:r>
      <w:r w:rsidR="00740045">
        <w:rPr>
          <w:sz w:val="26"/>
          <w:szCs w:val="26"/>
        </w:rPr>
        <w:t>три тысячи шестьсот</w:t>
      </w:r>
      <w:r w:rsidR="00740045" w:rsidRPr="00EE5A4F">
        <w:rPr>
          <w:sz w:val="26"/>
          <w:szCs w:val="26"/>
        </w:rPr>
        <w:t xml:space="preserve">).   </w:t>
      </w:r>
    </w:p>
    <w:p w:rsidR="00BA19FC" w:rsidRPr="00BF6D47" w:rsidRDefault="00BA19FC" w:rsidP="00740045">
      <w:pPr>
        <w:spacing w:line="240" w:lineRule="auto"/>
        <w:ind w:firstLine="709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>- 18 койко-дней.</w:t>
      </w:r>
    </w:p>
    <w:p w:rsidR="00B03115" w:rsidRPr="00AA1279" w:rsidRDefault="00BA19FC" w:rsidP="00AA1279">
      <w:pPr>
        <w:pStyle w:val="11"/>
        <w:keepNext/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8847A7">
        <w:rPr>
          <w:sz w:val="26"/>
          <w:szCs w:val="26"/>
        </w:rPr>
        <w:t>Дальневосточный федеральный округ.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</w:t>
      </w:r>
      <w:r w:rsidRPr="00F6408C">
        <w:rPr>
          <w:b/>
          <w:sz w:val="26"/>
          <w:szCs w:val="26"/>
        </w:rPr>
        <w:t>не позднее 10 ноября 2022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sectPr w:rsidR="002D37EA" w:rsidSect="00C36DDD">
      <w:headerReference w:type="even" r:id="rId13"/>
      <w:headerReference w:type="default" r:id="rId14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9B" w:rsidRDefault="00A10C9B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A10C9B" w:rsidRDefault="00A10C9B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9B" w:rsidRDefault="00A10C9B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A10C9B" w:rsidRDefault="00A10C9B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45" w:rsidRDefault="00740045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45" w:rsidRDefault="00740045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45" w:rsidRDefault="00740045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740045" w:rsidRDefault="00740045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45" w:rsidRPr="00A66F3C" w:rsidRDefault="00740045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740045" w:rsidRDefault="00740045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45" w:rsidRPr="008C6895" w:rsidRDefault="00740045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901ADA">
      <w:rPr>
        <w:rFonts w:ascii="Times New Roman" w:hAnsi="Times New Roman"/>
        <w:noProof/>
      </w:rPr>
      <w:t>21</w:t>
    </w:r>
    <w:r w:rsidRPr="008C6895">
      <w:rPr>
        <w:rFonts w:ascii="Times New Roman" w:hAnsi="Times New Roman"/>
      </w:rPr>
      <w:fldChar w:fldCharType="end"/>
    </w:r>
  </w:p>
  <w:p w:rsidR="00740045" w:rsidRDefault="00740045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45" w:rsidRDefault="00740045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45" w:rsidRPr="008C6895" w:rsidRDefault="00740045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901ADA">
      <w:rPr>
        <w:rStyle w:val="FontStyle71"/>
        <w:noProof/>
        <w:sz w:val="22"/>
        <w:szCs w:val="22"/>
      </w:rPr>
      <w:t>2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490D"/>
    <w:rsid w:val="0010649A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9065F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94179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5F5F"/>
    <w:rsid w:val="00587D7B"/>
    <w:rsid w:val="00595556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11E7C"/>
    <w:rsid w:val="006202F2"/>
    <w:rsid w:val="00622236"/>
    <w:rsid w:val="006223E2"/>
    <w:rsid w:val="00631751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E58E5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0045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5858"/>
    <w:rsid w:val="00777F0D"/>
    <w:rsid w:val="0078537D"/>
    <w:rsid w:val="007871AA"/>
    <w:rsid w:val="00790CCD"/>
    <w:rsid w:val="0079243F"/>
    <w:rsid w:val="00796000"/>
    <w:rsid w:val="00796F09"/>
    <w:rsid w:val="007971B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5EF0"/>
    <w:rsid w:val="008C6895"/>
    <w:rsid w:val="008D4F87"/>
    <w:rsid w:val="008F46A9"/>
    <w:rsid w:val="008F5B6D"/>
    <w:rsid w:val="008F5F75"/>
    <w:rsid w:val="0090011B"/>
    <w:rsid w:val="0090081E"/>
    <w:rsid w:val="00901ADA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0C9B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0D8F"/>
    <w:rsid w:val="00AB220A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A710D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408C"/>
    <w:rsid w:val="00F65584"/>
    <w:rsid w:val="00F761DA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5CCD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4888-13AB-4655-A860-76EAA7F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290</cp:revision>
  <cp:lastPrinted>2021-12-07T05:55:00Z</cp:lastPrinted>
  <dcterms:created xsi:type="dcterms:W3CDTF">2018-07-06T05:09:00Z</dcterms:created>
  <dcterms:modified xsi:type="dcterms:W3CDTF">2021-12-15T03:25:00Z</dcterms:modified>
</cp:coreProperties>
</file>