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03" w:rsidRPr="00DB6725" w:rsidRDefault="00C65703" w:rsidP="00AC7893">
      <w:pPr>
        <w:suppressLineNumbers/>
        <w:shd w:val="clear" w:color="auto" w:fill="FFFFFF"/>
        <w:ind w:right="23"/>
        <w:jc w:val="right"/>
        <w:rPr>
          <w:b/>
          <w:sz w:val="22"/>
          <w:szCs w:val="22"/>
          <w:lang w:bidi="ru-RU"/>
        </w:rPr>
      </w:pPr>
      <w:r w:rsidRPr="00DB6725">
        <w:rPr>
          <w:b/>
          <w:sz w:val="22"/>
          <w:szCs w:val="22"/>
          <w:lang w:bidi="ru-RU"/>
        </w:rPr>
        <w:t>Приложение № 1</w:t>
      </w:r>
    </w:p>
    <w:p w:rsidR="00C65703" w:rsidRPr="00DB6725" w:rsidRDefault="009330C1" w:rsidP="00C65703">
      <w:pPr>
        <w:suppressLineNumbers/>
        <w:shd w:val="clear" w:color="auto" w:fill="FFFFFF"/>
        <w:ind w:right="23"/>
        <w:jc w:val="right"/>
        <w:rPr>
          <w:b/>
          <w:sz w:val="22"/>
          <w:szCs w:val="22"/>
          <w:lang w:bidi="ru-RU"/>
        </w:rPr>
      </w:pPr>
      <w:r w:rsidRPr="00DB6725">
        <w:rPr>
          <w:b/>
          <w:sz w:val="22"/>
          <w:szCs w:val="22"/>
          <w:lang w:bidi="ru-RU"/>
        </w:rPr>
        <w:t xml:space="preserve">к </w:t>
      </w:r>
      <w:r w:rsidR="00C65703" w:rsidRPr="00DB6725">
        <w:rPr>
          <w:b/>
          <w:sz w:val="22"/>
          <w:szCs w:val="22"/>
          <w:lang w:bidi="ru-RU"/>
        </w:rPr>
        <w:t>Извещению о проведении закупки</w:t>
      </w:r>
    </w:p>
    <w:p w:rsidR="00C65703" w:rsidRPr="00DB6725" w:rsidRDefault="00C65703" w:rsidP="00B724D7">
      <w:pPr>
        <w:jc w:val="center"/>
        <w:rPr>
          <w:b/>
          <w:sz w:val="22"/>
          <w:szCs w:val="22"/>
        </w:rPr>
      </w:pPr>
    </w:p>
    <w:p w:rsidR="009330C1" w:rsidRPr="00DB6725" w:rsidRDefault="00AA2D83" w:rsidP="009330C1">
      <w:pPr>
        <w:keepNext/>
        <w:keepLines/>
        <w:widowControl/>
        <w:suppressAutoHyphens w:val="0"/>
        <w:spacing w:line="100" w:lineRule="atLeast"/>
        <w:ind w:left="360"/>
        <w:jc w:val="center"/>
        <w:rPr>
          <w:b/>
          <w:bCs/>
          <w:sz w:val="22"/>
          <w:szCs w:val="22"/>
        </w:rPr>
      </w:pPr>
      <w:r w:rsidRPr="00DB6725">
        <w:rPr>
          <w:b/>
          <w:bCs/>
          <w:sz w:val="22"/>
          <w:szCs w:val="22"/>
        </w:rPr>
        <w:t>Описание объекта закупки</w:t>
      </w:r>
    </w:p>
    <w:p w:rsidR="00DB02A9" w:rsidRPr="00DB6725" w:rsidRDefault="00DB02A9" w:rsidP="009330C1">
      <w:pPr>
        <w:keepNext/>
        <w:keepLines/>
        <w:widowControl/>
        <w:suppressAutoHyphens w:val="0"/>
        <w:spacing w:line="100" w:lineRule="atLeast"/>
        <w:ind w:left="360"/>
        <w:jc w:val="center"/>
        <w:rPr>
          <w:b/>
          <w:sz w:val="22"/>
          <w:szCs w:val="22"/>
        </w:rPr>
      </w:pPr>
    </w:p>
    <w:p w:rsidR="00AD5D39" w:rsidRPr="00DB6725" w:rsidRDefault="00AD5D39" w:rsidP="00AD5D39">
      <w:pPr>
        <w:keepLines/>
        <w:widowControl/>
        <w:shd w:val="clear" w:color="auto" w:fill="FFFFFF"/>
        <w:tabs>
          <w:tab w:val="left" w:pos="0"/>
        </w:tabs>
        <w:spacing w:line="100" w:lineRule="atLeast"/>
        <w:jc w:val="both"/>
        <w:rPr>
          <w:b/>
          <w:color w:val="000000"/>
          <w:spacing w:val="1"/>
          <w:sz w:val="22"/>
          <w:szCs w:val="22"/>
        </w:rPr>
      </w:pPr>
      <w:r w:rsidRPr="00DB6725">
        <w:rPr>
          <w:b/>
          <w:sz w:val="22"/>
          <w:szCs w:val="22"/>
        </w:rPr>
        <w:t>П</w:t>
      </w:r>
      <w:r w:rsidRPr="00DB6725">
        <w:rPr>
          <w:b/>
          <w:spacing w:val="1"/>
          <w:sz w:val="22"/>
          <w:szCs w:val="22"/>
        </w:rPr>
        <w:t xml:space="preserve">оставка </w:t>
      </w:r>
      <w:proofErr w:type="gramStart"/>
      <w:r w:rsidR="005B7A4C" w:rsidRPr="00DB6725">
        <w:rPr>
          <w:b/>
          <w:sz w:val="22"/>
          <w:szCs w:val="22"/>
        </w:rPr>
        <w:t>электронных</w:t>
      </w:r>
      <w:proofErr w:type="gramEnd"/>
      <w:r w:rsidR="005B7A4C" w:rsidRPr="00DB6725">
        <w:rPr>
          <w:b/>
          <w:sz w:val="22"/>
          <w:szCs w:val="22"/>
        </w:rPr>
        <w:t xml:space="preserve"> стационарных </w:t>
      </w:r>
      <w:proofErr w:type="spellStart"/>
      <w:r w:rsidR="005B7A4C" w:rsidRPr="00DB6725">
        <w:rPr>
          <w:b/>
          <w:sz w:val="22"/>
          <w:szCs w:val="22"/>
        </w:rPr>
        <w:t>видеоувеличителей</w:t>
      </w:r>
      <w:proofErr w:type="spellEnd"/>
      <w:r w:rsidR="005B7A4C" w:rsidRPr="00DB6725">
        <w:rPr>
          <w:b/>
          <w:spacing w:val="1"/>
          <w:sz w:val="22"/>
          <w:szCs w:val="22"/>
        </w:rPr>
        <w:t xml:space="preserve"> для обеспечения в 2022 году</w:t>
      </w:r>
      <w:r w:rsidR="005B7A4C" w:rsidRPr="00DB6725">
        <w:rPr>
          <w:b/>
          <w:sz w:val="22"/>
          <w:szCs w:val="22"/>
        </w:rPr>
        <w:t xml:space="preserve"> </w:t>
      </w:r>
      <w:r w:rsidR="005B7A4C" w:rsidRPr="00DB6725">
        <w:rPr>
          <w:b/>
          <w:spacing w:val="1"/>
          <w:sz w:val="22"/>
          <w:szCs w:val="22"/>
        </w:rPr>
        <w:t xml:space="preserve">инвалидов, проживающих на территории </w:t>
      </w:r>
      <w:r w:rsidR="005B7A4C" w:rsidRPr="00DB6725">
        <w:rPr>
          <w:b/>
          <w:color w:val="000000"/>
          <w:spacing w:val="1"/>
          <w:sz w:val="22"/>
          <w:szCs w:val="22"/>
        </w:rPr>
        <w:t>Пермского края</w:t>
      </w:r>
      <w:r w:rsidRPr="00DB6725">
        <w:rPr>
          <w:b/>
          <w:spacing w:val="1"/>
          <w:sz w:val="22"/>
          <w:szCs w:val="22"/>
        </w:rPr>
        <w:t>.</w:t>
      </w:r>
      <w:r w:rsidR="005B7A4C" w:rsidRPr="00DB6725">
        <w:rPr>
          <w:b/>
          <w:color w:val="000000"/>
          <w:spacing w:val="1"/>
          <w:sz w:val="22"/>
          <w:szCs w:val="22"/>
        </w:rPr>
        <w:t xml:space="preserve"> Количество - 6</w:t>
      </w:r>
      <w:r w:rsidR="00526478" w:rsidRPr="00DB6725">
        <w:rPr>
          <w:b/>
          <w:color w:val="000000"/>
          <w:spacing w:val="1"/>
          <w:sz w:val="22"/>
          <w:szCs w:val="22"/>
        </w:rPr>
        <w:t xml:space="preserve"> штук</w:t>
      </w:r>
      <w:r w:rsidRPr="00DB6725">
        <w:rPr>
          <w:b/>
          <w:color w:val="000000"/>
          <w:spacing w:val="1"/>
          <w:sz w:val="22"/>
          <w:szCs w:val="22"/>
        </w:rPr>
        <w:t>.</w:t>
      </w:r>
    </w:p>
    <w:p w:rsidR="0022569C" w:rsidRPr="00DB6725" w:rsidRDefault="0022569C" w:rsidP="00AD5D39">
      <w:pPr>
        <w:keepLines/>
        <w:widowControl/>
        <w:shd w:val="clear" w:color="auto" w:fill="FFFFFF"/>
        <w:tabs>
          <w:tab w:val="left" w:pos="0"/>
        </w:tabs>
        <w:spacing w:line="100" w:lineRule="atLeast"/>
        <w:jc w:val="both"/>
        <w:rPr>
          <w:b/>
          <w:color w:val="000000"/>
          <w:spacing w:val="1"/>
          <w:sz w:val="22"/>
          <w:szCs w:val="22"/>
        </w:rPr>
      </w:pPr>
    </w:p>
    <w:p w:rsidR="005B7A4C" w:rsidRPr="00DB6725" w:rsidRDefault="00AD5D39" w:rsidP="005B7A4C">
      <w:pPr>
        <w:widowControl/>
        <w:suppressAutoHyphens w:val="0"/>
        <w:jc w:val="both"/>
        <w:rPr>
          <w:b/>
          <w:bCs/>
          <w:sz w:val="22"/>
          <w:szCs w:val="22"/>
        </w:rPr>
      </w:pPr>
      <w:r w:rsidRPr="00DB6725">
        <w:rPr>
          <w:b/>
          <w:bCs/>
          <w:sz w:val="22"/>
          <w:szCs w:val="22"/>
        </w:rPr>
        <w:t>1. Описание объекта закупки (функциональные, технические и качественные характеристики):</w:t>
      </w:r>
      <w:r w:rsidR="005B7A4C" w:rsidRPr="00DB6725">
        <w:rPr>
          <w:b/>
          <w:bCs/>
          <w:sz w:val="22"/>
          <w:szCs w:val="22"/>
        </w:rPr>
        <w:t xml:space="preserve"> </w:t>
      </w:r>
    </w:p>
    <w:p w:rsidR="005B7A4C" w:rsidRPr="00DB6725" w:rsidRDefault="005B7A4C" w:rsidP="005B7A4C">
      <w:pPr>
        <w:widowControl/>
        <w:suppressAutoHyphens w:val="0"/>
        <w:jc w:val="both"/>
        <w:rPr>
          <w:sz w:val="22"/>
          <w:szCs w:val="22"/>
        </w:rPr>
      </w:pPr>
      <w:r w:rsidRPr="00DB6725">
        <w:rPr>
          <w:b/>
          <w:bCs/>
          <w:sz w:val="22"/>
          <w:szCs w:val="22"/>
        </w:rPr>
        <w:t xml:space="preserve">Электронные стационарные </w:t>
      </w:r>
      <w:proofErr w:type="spellStart"/>
      <w:r w:rsidRPr="00DB6725">
        <w:rPr>
          <w:b/>
          <w:bCs/>
          <w:sz w:val="22"/>
          <w:szCs w:val="22"/>
        </w:rPr>
        <w:t>видеоувеличители</w:t>
      </w:r>
      <w:proofErr w:type="spellEnd"/>
      <w:r w:rsidRPr="00DB6725">
        <w:rPr>
          <w:b/>
          <w:bCs/>
          <w:sz w:val="22"/>
          <w:szCs w:val="22"/>
        </w:rPr>
        <w:t xml:space="preserve">  </w:t>
      </w:r>
      <w:r w:rsidRPr="00DB6725">
        <w:rPr>
          <w:sz w:val="22"/>
          <w:szCs w:val="22"/>
        </w:rPr>
        <w:t xml:space="preserve">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 Электронный стационарный </w:t>
      </w:r>
      <w:proofErr w:type="spellStart"/>
      <w:r w:rsidRPr="00DB6725">
        <w:rPr>
          <w:sz w:val="22"/>
          <w:szCs w:val="22"/>
        </w:rPr>
        <w:t>видеоувеличитель</w:t>
      </w:r>
      <w:proofErr w:type="spellEnd"/>
      <w:r w:rsidRPr="00DB6725">
        <w:rPr>
          <w:sz w:val="22"/>
          <w:szCs w:val="22"/>
        </w:rPr>
        <w:t xml:space="preserve"> имеет регулировку яркости и контрастности изображения; режим стоп-кадр; световую указку, позволяющую отметить на объекте центр отображенной на экране области; встроенную подсветку, обеспечивающую независимость работы от внешнего освещения. Все элементы управления устройством имеют крупный размер и контрастную окраску. В комплект электронного стационарного </w:t>
      </w:r>
      <w:proofErr w:type="spellStart"/>
      <w:r w:rsidRPr="00DB6725">
        <w:rPr>
          <w:sz w:val="22"/>
          <w:szCs w:val="22"/>
        </w:rPr>
        <w:t>видеоувеличителя</w:t>
      </w:r>
      <w:proofErr w:type="spellEnd"/>
      <w:r w:rsidRPr="00DB6725">
        <w:rPr>
          <w:sz w:val="22"/>
          <w:szCs w:val="22"/>
        </w:rPr>
        <w:t xml:space="preserve"> входит: электронный стационарный </w:t>
      </w:r>
      <w:proofErr w:type="spellStart"/>
      <w:r w:rsidRPr="00DB6725">
        <w:rPr>
          <w:sz w:val="22"/>
          <w:szCs w:val="22"/>
        </w:rPr>
        <w:t>видеоувеличитель</w:t>
      </w:r>
      <w:proofErr w:type="spellEnd"/>
      <w:r w:rsidRPr="00DB6725">
        <w:rPr>
          <w:sz w:val="22"/>
          <w:szCs w:val="22"/>
        </w:rPr>
        <w:t xml:space="preserve">; руководство по эксплуатации на русском языке; телевизионный дисплей (в комплекте); паспорт изделия; упаковочная коробка. Каждый электронный стационарный </w:t>
      </w:r>
      <w:proofErr w:type="spellStart"/>
      <w:r w:rsidRPr="00DB6725">
        <w:rPr>
          <w:sz w:val="22"/>
          <w:szCs w:val="22"/>
        </w:rPr>
        <w:t>видеоувеличитель</w:t>
      </w:r>
      <w:proofErr w:type="spellEnd"/>
      <w:r w:rsidRPr="00DB6725">
        <w:rPr>
          <w:sz w:val="22"/>
          <w:szCs w:val="22"/>
        </w:rPr>
        <w:t xml:space="preserve"> упакован в индивидуальную транспортную тару с внутренней влагонепроницаемой бумагой. Транспортирование любым видом крытого транспорта в соответствии с правилами перевозки грузов, действующими на данном виде транспорта. </w:t>
      </w:r>
      <w:proofErr w:type="gramStart"/>
      <w:r w:rsidRPr="00DB6725">
        <w:rPr>
          <w:sz w:val="22"/>
          <w:szCs w:val="22"/>
          <w:lang w:val="en-US"/>
        </w:rPr>
        <w:t>C</w:t>
      </w:r>
      <w:proofErr w:type="spellStart"/>
      <w:r w:rsidRPr="00DB6725">
        <w:rPr>
          <w:sz w:val="22"/>
          <w:szCs w:val="22"/>
        </w:rPr>
        <w:t>пециальные</w:t>
      </w:r>
      <w:proofErr w:type="spellEnd"/>
      <w:r w:rsidRPr="00DB6725">
        <w:rPr>
          <w:sz w:val="22"/>
          <w:szCs w:val="22"/>
        </w:rPr>
        <w:t xml:space="preserve"> устройства для оптической коррекции слабовидения отвечают требованиям ГОСТ Р 51264-99, </w:t>
      </w:r>
      <w:r w:rsidR="00B71F3C" w:rsidRPr="00DB6725">
        <w:rPr>
          <w:sz w:val="22"/>
          <w:szCs w:val="22"/>
        </w:rPr>
        <w:t>ГОСТ Р 51632-2021</w:t>
      </w:r>
      <w:r w:rsidRPr="00DB6725">
        <w:rPr>
          <w:sz w:val="22"/>
          <w:szCs w:val="22"/>
        </w:rPr>
        <w:t>, ГОСТ Р ИСО 9999-2019.</w:t>
      </w:r>
      <w:proofErr w:type="gramEnd"/>
      <w:r w:rsidRPr="00DB6725">
        <w:rPr>
          <w:sz w:val="22"/>
          <w:szCs w:val="22"/>
        </w:rPr>
        <w:t xml:space="preserve"> Электронные стационарные </w:t>
      </w:r>
      <w:proofErr w:type="spellStart"/>
      <w:r w:rsidRPr="00DB6725">
        <w:rPr>
          <w:sz w:val="22"/>
          <w:szCs w:val="22"/>
        </w:rPr>
        <w:t>видеоувеличители</w:t>
      </w:r>
      <w:proofErr w:type="spellEnd"/>
      <w:r w:rsidRPr="00DB6725">
        <w:rPr>
          <w:sz w:val="22"/>
          <w:szCs w:val="22"/>
        </w:rPr>
        <w:t xml:space="preserve"> отвечают требованиям безопасности товара в соответствии с техническими регламентами Таможенного союза: </w:t>
      </w:r>
      <w:proofErr w:type="gramStart"/>
      <w:r w:rsidRPr="00DB6725">
        <w:rPr>
          <w:sz w:val="22"/>
          <w:szCs w:val="22"/>
        </w:rPr>
        <w:t>ТР</w:t>
      </w:r>
      <w:proofErr w:type="gramEnd"/>
      <w:r w:rsidRPr="00DB6725">
        <w:rPr>
          <w:sz w:val="22"/>
          <w:szCs w:val="22"/>
        </w:rPr>
        <w:t xml:space="preserve"> ТС 004\2011, ТР ТС 020\2011. Наличие гарантийных талонов, дающих право на бесплатный ремонт электронных стационарных </w:t>
      </w:r>
      <w:proofErr w:type="spellStart"/>
      <w:r w:rsidRPr="00DB6725">
        <w:rPr>
          <w:sz w:val="22"/>
          <w:szCs w:val="22"/>
        </w:rPr>
        <w:t>видеоувеличителей</w:t>
      </w:r>
      <w:proofErr w:type="spellEnd"/>
      <w:r w:rsidRPr="00DB6725">
        <w:rPr>
          <w:sz w:val="22"/>
          <w:szCs w:val="22"/>
        </w:rPr>
        <w:t xml:space="preserve"> во время гарантийного срока пользования. Указание адресов специализированных мастерских, в которые следует обращаться для гарантийного ремонта электронного стационарного </w:t>
      </w:r>
      <w:proofErr w:type="spellStart"/>
      <w:r w:rsidRPr="00DB6725">
        <w:rPr>
          <w:sz w:val="22"/>
          <w:szCs w:val="22"/>
        </w:rPr>
        <w:t>видеоувеличителя</w:t>
      </w:r>
      <w:proofErr w:type="spellEnd"/>
      <w:r w:rsidRPr="00DB6725">
        <w:rPr>
          <w:sz w:val="22"/>
          <w:szCs w:val="22"/>
        </w:rPr>
        <w:t xml:space="preserve"> или устранения неисправностей. Возможность ремонта при обеспечении инвалидов электронными стационарными </w:t>
      </w:r>
      <w:proofErr w:type="spellStart"/>
      <w:r w:rsidRPr="00DB6725">
        <w:rPr>
          <w:sz w:val="22"/>
          <w:szCs w:val="22"/>
        </w:rPr>
        <w:t>видеоувеличителями</w:t>
      </w:r>
      <w:proofErr w:type="spellEnd"/>
      <w:r w:rsidRPr="00DB6725">
        <w:rPr>
          <w:sz w:val="22"/>
          <w:szCs w:val="22"/>
        </w:rPr>
        <w:t xml:space="preserve"> осуществляется в соответствии с Федеральным законом от 07.02.1992 г. № 2300-1 «О защите прав потребителей».</w:t>
      </w:r>
    </w:p>
    <w:p w:rsidR="005B7A4C" w:rsidRPr="00DB6725" w:rsidRDefault="005B7A4C" w:rsidP="005B7A4C">
      <w:pPr>
        <w:widowControl/>
        <w:suppressAutoHyphens w:val="0"/>
        <w:jc w:val="both"/>
        <w:rPr>
          <w:b/>
          <w:bCs/>
          <w:sz w:val="22"/>
          <w:szCs w:val="22"/>
        </w:rPr>
      </w:pPr>
      <w:r w:rsidRPr="00DB6725">
        <w:rPr>
          <w:sz w:val="22"/>
          <w:szCs w:val="22"/>
          <w:u w:val="single"/>
        </w:rPr>
        <w:t>Гарантийный срок</w:t>
      </w:r>
      <w:r w:rsidRPr="00DB6725">
        <w:rPr>
          <w:sz w:val="22"/>
          <w:szCs w:val="22"/>
        </w:rPr>
        <w:t xml:space="preserve"> - 24 (Двадцать четыре) месяца со дня подписания Получателем акта приема-передачи Товара.</w:t>
      </w:r>
    </w:p>
    <w:p w:rsidR="00AD5D39" w:rsidRPr="00DB6725" w:rsidRDefault="00AD5D39" w:rsidP="00AD5D39">
      <w:pPr>
        <w:widowControl/>
        <w:jc w:val="both"/>
        <w:rPr>
          <w:sz w:val="22"/>
          <w:szCs w:val="22"/>
        </w:rPr>
      </w:pPr>
    </w:p>
    <w:p w:rsidR="007A716A" w:rsidRPr="00DB6725" w:rsidRDefault="007A716A" w:rsidP="007A716A">
      <w:pPr>
        <w:widowControl/>
        <w:jc w:val="both"/>
        <w:rPr>
          <w:b/>
          <w:sz w:val="22"/>
          <w:szCs w:val="22"/>
        </w:rPr>
      </w:pPr>
      <w:r w:rsidRPr="00DB6725">
        <w:rPr>
          <w:b/>
          <w:sz w:val="22"/>
          <w:szCs w:val="22"/>
        </w:rPr>
        <w:t>2. Показатели, позволяющие определить соответствие закупаемого товара требованиям заказчика:</w:t>
      </w:r>
    </w:p>
    <w:tbl>
      <w:tblPr>
        <w:tblW w:w="14552" w:type="dxa"/>
        <w:tblInd w:w="157" w:type="dxa"/>
        <w:tblLayout w:type="fixed"/>
        <w:tblLook w:val="0000"/>
      </w:tblPr>
      <w:tblGrid>
        <w:gridCol w:w="2078"/>
        <w:gridCol w:w="5670"/>
        <w:gridCol w:w="5670"/>
        <w:gridCol w:w="1134"/>
      </w:tblGrid>
      <w:tr w:rsidR="0022569C" w:rsidRPr="00DB6725" w:rsidTr="0022569C">
        <w:tc>
          <w:tcPr>
            <w:tcW w:w="2078" w:type="dxa"/>
            <w:tcBorders>
              <w:top w:val="single" w:sz="4" w:space="0" w:color="000000"/>
              <w:left w:val="single" w:sz="4" w:space="0" w:color="000000"/>
              <w:bottom w:val="single" w:sz="4" w:space="0" w:color="000000"/>
            </w:tcBorders>
            <w:shd w:val="clear" w:color="auto" w:fill="auto"/>
          </w:tcPr>
          <w:p w:rsidR="0022569C" w:rsidRPr="00DB6725" w:rsidRDefault="0022569C" w:rsidP="0022569C">
            <w:pPr>
              <w:widowControl/>
              <w:suppressAutoHyphens w:val="0"/>
              <w:snapToGrid w:val="0"/>
              <w:jc w:val="center"/>
              <w:rPr>
                <w:b/>
                <w:sz w:val="22"/>
                <w:szCs w:val="22"/>
              </w:rPr>
            </w:pPr>
            <w:r w:rsidRPr="00DB6725">
              <w:rPr>
                <w:b/>
                <w:sz w:val="22"/>
                <w:szCs w:val="22"/>
              </w:rPr>
              <w:t>Наименование закупаемого Товара</w:t>
            </w:r>
          </w:p>
        </w:tc>
        <w:tc>
          <w:tcPr>
            <w:tcW w:w="5670" w:type="dxa"/>
            <w:tcBorders>
              <w:top w:val="single" w:sz="4" w:space="0" w:color="000000"/>
              <w:left w:val="single" w:sz="4" w:space="0" w:color="000000"/>
              <w:bottom w:val="single" w:sz="4" w:space="0" w:color="000000"/>
            </w:tcBorders>
            <w:shd w:val="clear" w:color="auto" w:fill="auto"/>
          </w:tcPr>
          <w:p w:rsidR="0022569C" w:rsidRPr="00DB6725" w:rsidRDefault="0022569C" w:rsidP="0022569C">
            <w:pPr>
              <w:widowControl/>
              <w:suppressAutoHyphens w:val="0"/>
              <w:snapToGrid w:val="0"/>
              <w:jc w:val="center"/>
              <w:rPr>
                <w:b/>
                <w:sz w:val="22"/>
                <w:szCs w:val="22"/>
              </w:rPr>
            </w:pPr>
            <w:r w:rsidRPr="00DB6725">
              <w:rPr>
                <w:b/>
                <w:sz w:val="22"/>
                <w:szCs w:val="22"/>
              </w:rPr>
              <w:t>Показатели, которые не могут изменяться</w:t>
            </w:r>
          </w:p>
        </w:tc>
        <w:tc>
          <w:tcPr>
            <w:tcW w:w="5670" w:type="dxa"/>
            <w:tcBorders>
              <w:top w:val="single" w:sz="4" w:space="0" w:color="000000"/>
              <w:left w:val="single" w:sz="4" w:space="0" w:color="000000"/>
              <w:bottom w:val="single" w:sz="4" w:space="0" w:color="000000"/>
            </w:tcBorders>
            <w:shd w:val="clear" w:color="auto" w:fill="auto"/>
          </w:tcPr>
          <w:p w:rsidR="0022569C" w:rsidRPr="00DB6725" w:rsidRDefault="0022569C" w:rsidP="0022569C">
            <w:pPr>
              <w:widowControl/>
              <w:suppressAutoHyphens w:val="0"/>
              <w:snapToGrid w:val="0"/>
              <w:jc w:val="center"/>
              <w:rPr>
                <w:b/>
                <w:sz w:val="22"/>
                <w:szCs w:val="22"/>
              </w:rPr>
            </w:pPr>
            <w:r w:rsidRPr="00DB6725">
              <w:rPr>
                <w:b/>
                <w:sz w:val="22"/>
                <w:szCs w:val="22"/>
              </w:rPr>
              <w:t>Максимальные и (или) минимальные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569C" w:rsidRPr="00DB6725" w:rsidRDefault="0022569C" w:rsidP="0022569C">
            <w:pPr>
              <w:widowControl/>
              <w:suppressAutoHyphens w:val="0"/>
              <w:snapToGrid w:val="0"/>
              <w:jc w:val="center"/>
              <w:rPr>
                <w:b/>
                <w:sz w:val="22"/>
                <w:szCs w:val="22"/>
              </w:rPr>
            </w:pPr>
            <w:r w:rsidRPr="00DB6725">
              <w:rPr>
                <w:b/>
                <w:sz w:val="22"/>
                <w:szCs w:val="22"/>
              </w:rPr>
              <w:t>Кол-во                                              (шт.)</w:t>
            </w:r>
          </w:p>
        </w:tc>
      </w:tr>
      <w:tr w:rsidR="005B7A4C" w:rsidRPr="00DB6725" w:rsidTr="0022569C">
        <w:tc>
          <w:tcPr>
            <w:tcW w:w="2078" w:type="dxa"/>
            <w:tcBorders>
              <w:top w:val="single" w:sz="4" w:space="0" w:color="000000"/>
              <w:left w:val="single" w:sz="4" w:space="0" w:color="000000"/>
              <w:bottom w:val="single" w:sz="4" w:space="0" w:color="000000"/>
            </w:tcBorders>
            <w:shd w:val="clear" w:color="auto" w:fill="auto"/>
          </w:tcPr>
          <w:p w:rsidR="005B7A4C" w:rsidRPr="00DB6725" w:rsidRDefault="005B7A4C" w:rsidP="005B7A4C">
            <w:pPr>
              <w:keepLines/>
              <w:widowControl/>
              <w:suppressAutoHyphens w:val="0"/>
              <w:snapToGrid w:val="0"/>
              <w:jc w:val="center"/>
              <w:rPr>
                <w:b/>
                <w:bCs/>
                <w:sz w:val="22"/>
                <w:szCs w:val="22"/>
              </w:rPr>
            </w:pPr>
            <w:bookmarkStart w:id="0" w:name="_GoBack"/>
            <w:bookmarkEnd w:id="0"/>
            <w:r w:rsidRPr="00DB6725">
              <w:rPr>
                <w:b/>
                <w:bCs/>
                <w:sz w:val="22"/>
                <w:szCs w:val="22"/>
              </w:rPr>
              <w:t xml:space="preserve">Электронный стационарный </w:t>
            </w:r>
            <w:proofErr w:type="spellStart"/>
            <w:r w:rsidRPr="00DB6725">
              <w:rPr>
                <w:b/>
                <w:bCs/>
                <w:sz w:val="22"/>
                <w:szCs w:val="22"/>
              </w:rPr>
              <w:t>видеоувеличитель</w:t>
            </w:r>
            <w:proofErr w:type="spellEnd"/>
          </w:p>
          <w:p w:rsidR="005B7A4C" w:rsidRPr="00DB6725" w:rsidRDefault="005B7A4C" w:rsidP="002911ED">
            <w:pPr>
              <w:widowControl/>
              <w:suppressAutoHyphens w:val="0"/>
              <w:rPr>
                <w:sz w:val="22"/>
                <w:szCs w:val="22"/>
              </w:rPr>
            </w:pPr>
          </w:p>
        </w:tc>
        <w:tc>
          <w:tcPr>
            <w:tcW w:w="5670" w:type="dxa"/>
            <w:tcBorders>
              <w:top w:val="single" w:sz="4" w:space="0" w:color="000000"/>
              <w:left w:val="single" w:sz="4" w:space="0" w:color="000000"/>
              <w:bottom w:val="single" w:sz="4" w:space="0" w:color="000000"/>
            </w:tcBorders>
            <w:shd w:val="clear" w:color="auto" w:fill="auto"/>
          </w:tcPr>
          <w:p w:rsidR="005B7A4C" w:rsidRPr="00DB6725" w:rsidRDefault="005B7A4C" w:rsidP="002911ED">
            <w:pPr>
              <w:keepLines/>
              <w:widowControl/>
              <w:suppressAutoHyphens w:val="0"/>
              <w:snapToGrid w:val="0"/>
              <w:jc w:val="both"/>
              <w:rPr>
                <w:sz w:val="22"/>
                <w:szCs w:val="22"/>
              </w:rPr>
            </w:pPr>
            <w:proofErr w:type="gramStart"/>
            <w:r w:rsidRPr="00DB6725">
              <w:rPr>
                <w:b/>
                <w:bCs/>
                <w:sz w:val="22"/>
                <w:szCs w:val="22"/>
              </w:rPr>
              <w:t xml:space="preserve">Электронный стационарный </w:t>
            </w:r>
            <w:proofErr w:type="spellStart"/>
            <w:r w:rsidRPr="00DB6725">
              <w:rPr>
                <w:b/>
                <w:bCs/>
                <w:sz w:val="22"/>
                <w:szCs w:val="22"/>
              </w:rPr>
              <w:t>видеоувеличитель</w:t>
            </w:r>
            <w:proofErr w:type="spellEnd"/>
            <w:r w:rsidRPr="00DB6725">
              <w:rPr>
                <w:sz w:val="22"/>
                <w:szCs w:val="22"/>
              </w:rPr>
              <w:t xml:space="preserve"> обеспечивает слабовидящим пользователям с остротой зрения 0,03-0,1 возможность чтения плоскопечатных текстов, просмотра мелких изображений, заполнения и подписи документов и т.д. посредством вывода на экран монитора увеличенного изображения в различных, комфортных для зрения конкретного пользователя, контрастных видеорежимов.</w:t>
            </w:r>
            <w:proofErr w:type="gramEnd"/>
          </w:p>
          <w:p w:rsidR="005B7A4C" w:rsidRPr="00DB6725" w:rsidRDefault="005B7A4C" w:rsidP="002911ED">
            <w:pPr>
              <w:keepLines/>
              <w:widowControl/>
              <w:suppressAutoHyphens w:val="0"/>
              <w:snapToGrid w:val="0"/>
              <w:jc w:val="both"/>
              <w:rPr>
                <w:sz w:val="22"/>
                <w:szCs w:val="22"/>
              </w:rPr>
            </w:pPr>
          </w:p>
          <w:p w:rsidR="005B7A4C" w:rsidRPr="00DB6725" w:rsidRDefault="005B7A4C" w:rsidP="002911ED">
            <w:pPr>
              <w:pStyle w:val="11"/>
              <w:keepLines/>
              <w:suppressAutoHyphens w:val="0"/>
              <w:ind w:left="0"/>
              <w:jc w:val="both"/>
              <w:rPr>
                <w:sz w:val="22"/>
                <w:szCs w:val="22"/>
              </w:rPr>
            </w:pPr>
            <w:r w:rsidRPr="00DB6725">
              <w:rPr>
                <w:sz w:val="22"/>
                <w:szCs w:val="22"/>
              </w:rPr>
              <w:t xml:space="preserve">Прибор имеет возможность выбирать цветовую </w:t>
            </w:r>
            <w:r w:rsidRPr="00DB6725">
              <w:rPr>
                <w:sz w:val="22"/>
                <w:szCs w:val="22"/>
              </w:rPr>
              <w:lastRenderedPageBreak/>
              <w:t>комбинацию «текст/фон», комфортную для пользователя.</w:t>
            </w:r>
          </w:p>
          <w:p w:rsidR="005B7A4C" w:rsidRPr="00DB6725" w:rsidRDefault="005B7A4C" w:rsidP="002911ED">
            <w:pPr>
              <w:pStyle w:val="11"/>
              <w:keepLines/>
              <w:suppressAutoHyphens w:val="0"/>
              <w:ind w:left="0"/>
              <w:jc w:val="both"/>
              <w:rPr>
                <w:sz w:val="22"/>
                <w:szCs w:val="22"/>
              </w:rPr>
            </w:pPr>
            <w:r w:rsidRPr="00DB6725">
              <w:rPr>
                <w:sz w:val="22"/>
                <w:szCs w:val="22"/>
              </w:rPr>
              <w:t>Наличие передвижного столика для чтения.</w:t>
            </w:r>
          </w:p>
          <w:p w:rsidR="005B7A4C" w:rsidRPr="00DB6725" w:rsidRDefault="005B7A4C" w:rsidP="002911ED">
            <w:pPr>
              <w:pStyle w:val="11"/>
              <w:keepLines/>
              <w:suppressAutoHyphens w:val="0"/>
              <w:ind w:left="0"/>
              <w:jc w:val="both"/>
              <w:rPr>
                <w:sz w:val="22"/>
                <w:szCs w:val="22"/>
              </w:rPr>
            </w:pPr>
          </w:p>
        </w:tc>
        <w:tc>
          <w:tcPr>
            <w:tcW w:w="5670" w:type="dxa"/>
            <w:tcBorders>
              <w:top w:val="single" w:sz="4" w:space="0" w:color="000000"/>
              <w:left w:val="single" w:sz="4" w:space="0" w:color="000000"/>
              <w:bottom w:val="single" w:sz="4" w:space="0" w:color="000000"/>
            </w:tcBorders>
            <w:shd w:val="clear" w:color="auto" w:fill="auto"/>
          </w:tcPr>
          <w:p w:rsidR="005B7A4C" w:rsidRPr="00DB6725" w:rsidRDefault="005B7A4C" w:rsidP="005B7A4C">
            <w:pPr>
              <w:keepLines/>
              <w:widowControl/>
              <w:suppressAutoHyphens w:val="0"/>
              <w:snapToGrid w:val="0"/>
              <w:jc w:val="center"/>
              <w:rPr>
                <w:b/>
                <w:sz w:val="22"/>
                <w:szCs w:val="22"/>
              </w:rPr>
            </w:pPr>
            <w:r w:rsidRPr="00DB6725">
              <w:rPr>
                <w:b/>
                <w:sz w:val="22"/>
                <w:szCs w:val="22"/>
              </w:rPr>
              <w:lastRenderedPageBreak/>
              <w:t>Прибор должен иметь следующие технические характеристики и режимы:</w:t>
            </w:r>
          </w:p>
          <w:p w:rsidR="005B7A4C" w:rsidRPr="00DB6725" w:rsidRDefault="005B7A4C" w:rsidP="002911ED">
            <w:pPr>
              <w:keepLines/>
              <w:widowControl/>
              <w:suppressAutoHyphens w:val="0"/>
              <w:snapToGrid w:val="0"/>
              <w:jc w:val="both"/>
              <w:rPr>
                <w:sz w:val="22"/>
                <w:szCs w:val="22"/>
              </w:rPr>
            </w:pPr>
          </w:p>
          <w:p w:rsidR="005B7A4C" w:rsidRPr="00DB6725" w:rsidRDefault="005B7A4C" w:rsidP="002911ED">
            <w:pPr>
              <w:pStyle w:val="11"/>
              <w:keepLines/>
              <w:suppressAutoHyphens w:val="0"/>
              <w:ind w:left="0"/>
              <w:jc w:val="both"/>
              <w:rPr>
                <w:sz w:val="22"/>
                <w:szCs w:val="22"/>
              </w:rPr>
            </w:pPr>
            <w:r w:rsidRPr="00DB6725">
              <w:rPr>
                <w:sz w:val="22"/>
                <w:szCs w:val="22"/>
              </w:rPr>
              <w:t>Режим регулировки увеличения плавный, с диапазоном увеличения с кратностью: минимальное значение от  1,5 до 2, максимальное значение от 70 до 74.</w:t>
            </w:r>
          </w:p>
          <w:p w:rsidR="005B7A4C" w:rsidRPr="00DB6725" w:rsidRDefault="005B7A4C" w:rsidP="002911ED">
            <w:pPr>
              <w:pStyle w:val="11"/>
              <w:keepLines/>
              <w:suppressAutoHyphens w:val="0"/>
              <w:ind w:left="0"/>
              <w:jc w:val="both"/>
              <w:rPr>
                <w:sz w:val="22"/>
                <w:szCs w:val="22"/>
              </w:rPr>
            </w:pPr>
          </w:p>
          <w:p w:rsidR="005B7A4C" w:rsidRPr="00DB6725" w:rsidRDefault="005B7A4C" w:rsidP="002911ED">
            <w:pPr>
              <w:widowControl/>
              <w:suppressAutoHyphens w:val="0"/>
              <w:autoSpaceDE w:val="0"/>
              <w:ind w:right="132"/>
              <w:jc w:val="both"/>
              <w:rPr>
                <w:sz w:val="22"/>
                <w:szCs w:val="22"/>
              </w:rPr>
            </w:pPr>
            <w:r w:rsidRPr="00DB6725">
              <w:rPr>
                <w:sz w:val="22"/>
                <w:szCs w:val="22"/>
              </w:rPr>
              <w:t>Наличие не менее 17 цветового режима отображения.</w:t>
            </w:r>
          </w:p>
          <w:p w:rsidR="005B7A4C" w:rsidRPr="00DB6725" w:rsidRDefault="005B7A4C" w:rsidP="002911ED">
            <w:pPr>
              <w:widowControl/>
              <w:suppressAutoHyphens w:val="0"/>
              <w:autoSpaceDE w:val="0"/>
              <w:ind w:right="132"/>
              <w:jc w:val="both"/>
              <w:rPr>
                <w:sz w:val="22"/>
                <w:szCs w:val="22"/>
              </w:rPr>
            </w:pPr>
          </w:p>
          <w:p w:rsidR="005B7A4C" w:rsidRPr="00DB6725" w:rsidRDefault="005B7A4C" w:rsidP="002911ED">
            <w:pPr>
              <w:pStyle w:val="11"/>
              <w:keepLines/>
              <w:suppressAutoHyphens w:val="0"/>
              <w:ind w:left="0"/>
              <w:jc w:val="both"/>
              <w:rPr>
                <w:b/>
                <w:sz w:val="22"/>
                <w:szCs w:val="22"/>
              </w:rPr>
            </w:pPr>
            <w:r w:rsidRPr="00DB6725">
              <w:rPr>
                <w:b/>
                <w:sz w:val="22"/>
                <w:szCs w:val="22"/>
              </w:rPr>
              <w:t>Параметры монитора:</w:t>
            </w:r>
          </w:p>
          <w:p w:rsidR="005B7A4C" w:rsidRPr="00DB6725" w:rsidRDefault="005B7A4C" w:rsidP="002911ED">
            <w:pPr>
              <w:pStyle w:val="11"/>
              <w:keepLines/>
              <w:suppressAutoHyphens w:val="0"/>
              <w:ind w:left="0"/>
              <w:jc w:val="both"/>
              <w:rPr>
                <w:sz w:val="22"/>
                <w:szCs w:val="22"/>
              </w:rPr>
            </w:pPr>
            <w:r w:rsidRPr="00DB6725">
              <w:rPr>
                <w:sz w:val="22"/>
                <w:szCs w:val="22"/>
              </w:rPr>
              <w:lastRenderedPageBreak/>
              <w:t>- диагональ не менее 19 дюймов.</w:t>
            </w:r>
          </w:p>
          <w:p w:rsidR="005B7A4C" w:rsidRPr="00DB6725" w:rsidRDefault="005B7A4C" w:rsidP="002911ED">
            <w:pPr>
              <w:pStyle w:val="11"/>
              <w:keepLines/>
              <w:suppressAutoHyphens w:val="0"/>
              <w:ind w:left="0"/>
              <w:jc w:val="both"/>
              <w:rPr>
                <w:sz w:val="22"/>
                <w:szCs w:val="22"/>
              </w:rPr>
            </w:pPr>
          </w:p>
          <w:p w:rsidR="005B7A4C" w:rsidRPr="00DB6725" w:rsidRDefault="005B7A4C" w:rsidP="002911ED">
            <w:pPr>
              <w:pStyle w:val="11"/>
              <w:keepLines/>
              <w:suppressAutoHyphens w:val="0"/>
              <w:ind w:left="0"/>
              <w:jc w:val="both"/>
              <w:rPr>
                <w:sz w:val="22"/>
                <w:szCs w:val="22"/>
              </w:rPr>
            </w:pPr>
            <w:r w:rsidRPr="00DB6725">
              <w:rPr>
                <w:sz w:val="22"/>
                <w:szCs w:val="22"/>
              </w:rPr>
              <w:t xml:space="preserve">Габаритные размеры передвижного столика (длина </w:t>
            </w:r>
            <w:proofErr w:type="spellStart"/>
            <w:r w:rsidRPr="00DB6725">
              <w:rPr>
                <w:sz w:val="22"/>
                <w:szCs w:val="22"/>
              </w:rPr>
              <w:t>х</w:t>
            </w:r>
            <w:proofErr w:type="spellEnd"/>
            <w:r w:rsidRPr="00DB6725">
              <w:rPr>
                <w:sz w:val="22"/>
                <w:szCs w:val="22"/>
              </w:rPr>
              <w:t xml:space="preserve"> ширина) не менее 37 см. </w:t>
            </w:r>
            <w:proofErr w:type="spellStart"/>
            <w:r w:rsidRPr="00DB6725">
              <w:rPr>
                <w:sz w:val="22"/>
                <w:szCs w:val="22"/>
              </w:rPr>
              <w:t>х</w:t>
            </w:r>
            <w:proofErr w:type="spellEnd"/>
            <w:r w:rsidRPr="00DB6725">
              <w:rPr>
                <w:sz w:val="22"/>
                <w:szCs w:val="22"/>
              </w:rPr>
              <w:t xml:space="preserve">  36 см. </w:t>
            </w:r>
          </w:p>
          <w:p w:rsidR="005B7A4C" w:rsidRPr="00DB6725" w:rsidRDefault="005B7A4C" w:rsidP="002911ED">
            <w:pPr>
              <w:pStyle w:val="11"/>
              <w:keepLines/>
              <w:suppressAutoHyphens w:val="0"/>
              <w:ind w:left="0"/>
              <w:jc w:val="both"/>
              <w:rPr>
                <w:sz w:val="22"/>
                <w:szCs w:val="22"/>
              </w:rPr>
            </w:pPr>
          </w:p>
          <w:p w:rsidR="005B7A4C" w:rsidRPr="00DB6725" w:rsidRDefault="005B7A4C" w:rsidP="002911ED">
            <w:pPr>
              <w:pStyle w:val="11"/>
              <w:suppressAutoHyphens w:val="0"/>
              <w:ind w:left="0"/>
              <w:jc w:val="both"/>
              <w:rPr>
                <w:sz w:val="22"/>
                <w:szCs w:val="22"/>
              </w:rPr>
            </w:pPr>
            <w:r w:rsidRPr="00DB6725">
              <w:rPr>
                <w:sz w:val="22"/>
                <w:szCs w:val="22"/>
              </w:rPr>
              <w:t xml:space="preserve">Диапазон перемещения столика вперед/назад не менее 26 см.; вправо/влево не менее 40 см. </w:t>
            </w:r>
          </w:p>
          <w:p w:rsidR="005B7A4C" w:rsidRPr="00DB6725" w:rsidRDefault="005B7A4C" w:rsidP="002911ED">
            <w:pPr>
              <w:pStyle w:val="11"/>
              <w:suppressAutoHyphens w:val="0"/>
              <w:ind w:left="0"/>
              <w:jc w:val="both"/>
              <w:rPr>
                <w:sz w:val="22"/>
                <w:szCs w:val="22"/>
              </w:rPr>
            </w:pPr>
          </w:p>
          <w:p w:rsidR="005B7A4C" w:rsidRPr="00DB6725" w:rsidRDefault="005B7A4C" w:rsidP="002911ED">
            <w:pPr>
              <w:pStyle w:val="11"/>
              <w:keepLines/>
              <w:suppressAutoHyphens w:val="0"/>
              <w:autoSpaceDE w:val="0"/>
              <w:snapToGrid w:val="0"/>
              <w:ind w:left="0"/>
              <w:jc w:val="both"/>
              <w:rPr>
                <w:sz w:val="22"/>
                <w:szCs w:val="22"/>
              </w:rPr>
            </w:pPr>
            <w:r w:rsidRPr="00DB6725">
              <w:rPr>
                <w:sz w:val="22"/>
                <w:szCs w:val="22"/>
              </w:rPr>
              <w:t>Вес изделия должен быть не более 20 кг.</w:t>
            </w:r>
          </w:p>
          <w:p w:rsidR="005B7A4C" w:rsidRPr="00DB6725" w:rsidRDefault="005B7A4C" w:rsidP="005B7A4C">
            <w:pPr>
              <w:widowControl/>
              <w:suppressAutoHyphens w:val="0"/>
              <w:autoSpaceDE w:val="0"/>
              <w:ind w:right="132"/>
              <w:jc w:val="both"/>
              <w:rPr>
                <w:sz w:val="22"/>
                <w:szCs w:val="22"/>
              </w:rPr>
            </w:pPr>
          </w:p>
          <w:p w:rsidR="005B7A4C" w:rsidRPr="00DB6725" w:rsidRDefault="005B7A4C" w:rsidP="005B7A4C">
            <w:pPr>
              <w:widowControl/>
              <w:suppressAutoHyphens w:val="0"/>
              <w:autoSpaceDE w:val="0"/>
              <w:ind w:right="132"/>
              <w:jc w:val="both"/>
              <w:rPr>
                <w:sz w:val="22"/>
                <w:szCs w:val="22"/>
              </w:rPr>
            </w:pPr>
            <w:r w:rsidRPr="00DB6725">
              <w:rPr>
                <w:sz w:val="22"/>
                <w:szCs w:val="22"/>
              </w:rPr>
              <w:t>Срок службы Товара, установленный изготовителем - не менее 7-ми (Семи) лет (согласно сроку пользования техническим средством реабилитации, установленным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7A4C" w:rsidRPr="00DB6725" w:rsidRDefault="005B7A4C" w:rsidP="005B7A4C">
            <w:pPr>
              <w:widowControl/>
              <w:tabs>
                <w:tab w:val="left" w:pos="1615"/>
              </w:tabs>
              <w:suppressAutoHyphens w:val="0"/>
              <w:jc w:val="center"/>
              <w:rPr>
                <w:b/>
                <w:sz w:val="22"/>
                <w:szCs w:val="22"/>
              </w:rPr>
            </w:pPr>
            <w:r w:rsidRPr="00DB6725">
              <w:rPr>
                <w:b/>
                <w:sz w:val="22"/>
                <w:szCs w:val="22"/>
              </w:rPr>
              <w:lastRenderedPageBreak/>
              <w:t>6</w:t>
            </w:r>
          </w:p>
          <w:p w:rsidR="005B7A4C" w:rsidRPr="00DB6725" w:rsidRDefault="005B7A4C" w:rsidP="002911ED">
            <w:pPr>
              <w:widowControl/>
              <w:tabs>
                <w:tab w:val="left" w:pos="1615"/>
              </w:tabs>
              <w:suppressAutoHyphens w:val="0"/>
              <w:rPr>
                <w:sz w:val="22"/>
                <w:szCs w:val="22"/>
              </w:rPr>
            </w:pPr>
          </w:p>
          <w:p w:rsidR="005B7A4C" w:rsidRPr="00DB6725" w:rsidRDefault="005B7A4C" w:rsidP="002911ED">
            <w:pPr>
              <w:widowControl/>
              <w:tabs>
                <w:tab w:val="left" w:pos="1615"/>
              </w:tabs>
              <w:suppressAutoHyphens w:val="0"/>
              <w:jc w:val="center"/>
              <w:rPr>
                <w:sz w:val="22"/>
                <w:szCs w:val="22"/>
              </w:rPr>
            </w:pPr>
          </w:p>
        </w:tc>
      </w:tr>
    </w:tbl>
    <w:p w:rsidR="0022569C" w:rsidRPr="00DB6725" w:rsidRDefault="0022569C" w:rsidP="007A716A">
      <w:pPr>
        <w:widowControl/>
        <w:jc w:val="both"/>
        <w:rPr>
          <w:b/>
          <w:sz w:val="22"/>
          <w:szCs w:val="22"/>
        </w:rPr>
      </w:pPr>
    </w:p>
    <w:p w:rsidR="005B7A4C" w:rsidRPr="00DB6725" w:rsidRDefault="005B7A4C" w:rsidP="005B7A4C">
      <w:pPr>
        <w:suppressAutoHyphens w:val="0"/>
        <w:jc w:val="both"/>
        <w:rPr>
          <w:sz w:val="22"/>
          <w:szCs w:val="22"/>
        </w:rPr>
      </w:pPr>
      <w:r w:rsidRPr="00DB6725">
        <w:rPr>
          <w:sz w:val="22"/>
          <w:szCs w:val="22"/>
          <w:u w:val="single"/>
        </w:rPr>
        <w:t>Место поставки Товара</w:t>
      </w:r>
      <w:r w:rsidRPr="00DB6725">
        <w:rPr>
          <w:sz w:val="22"/>
          <w:szCs w:val="22"/>
        </w:rPr>
        <w:t xml:space="preserve">: территория </w:t>
      </w:r>
      <w:proofErr w:type="gramStart"/>
      <w:r w:rsidRPr="00DB6725">
        <w:rPr>
          <w:sz w:val="22"/>
          <w:szCs w:val="22"/>
        </w:rPr>
        <w:t>г</w:t>
      </w:r>
      <w:proofErr w:type="gramEnd"/>
      <w:r w:rsidRPr="00DB6725">
        <w:rPr>
          <w:sz w:val="22"/>
          <w:szCs w:val="22"/>
        </w:rPr>
        <w:t xml:space="preserve">. Перми; </w:t>
      </w:r>
      <w:r w:rsidRPr="00DB6725">
        <w:rPr>
          <w:bCs/>
          <w:sz w:val="22"/>
          <w:szCs w:val="22"/>
        </w:rPr>
        <w:t xml:space="preserve">после подписания Сторонами Акта выборочной </w:t>
      </w:r>
      <w:r w:rsidRPr="00DB6725">
        <w:rPr>
          <w:sz w:val="22"/>
          <w:szCs w:val="22"/>
        </w:rPr>
        <w:t xml:space="preserve">проверки поставляемого товара – Пермский край, до места проживания инвалидов (Получателей). </w:t>
      </w:r>
    </w:p>
    <w:p w:rsidR="005B7A4C" w:rsidRPr="00DB6725" w:rsidRDefault="005B7A4C" w:rsidP="005B7A4C">
      <w:pPr>
        <w:suppressAutoHyphens w:val="0"/>
        <w:jc w:val="both"/>
        <w:rPr>
          <w:sz w:val="22"/>
          <w:szCs w:val="22"/>
        </w:rPr>
      </w:pPr>
    </w:p>
    <w:p w:rsidR="005B7A4C" w:rsidRPr="00DB6725" w:rsidRDefault="005B7A4C" w:rsidP="005B7A4C">
      <w:pPr>
        <w:suppressAutoHyphens w:val="0"/>
        <w:jc w:val="both"/>
        <w:rPr>
          <w:sz w:val="22"/>
          <w:szCs w:val="22"/>
        </w:rPr>
      </w:pPr>
      <w:r w:rsidRPr="00DB6725">
        <w:rPr>
          <w:sz w:val="22"/>
          <w:szCs w:val="22"/>
          <w:u w:val="single"/>
        </w:rPr>
        <w:t xml:space="preserve">Весь объем Товара должен быть поставлен на территорию </w:t>
      </w:r>
      <w:proofErr w:type="gramStart"/>
      <w:r w:rsidRPr="00DB6725">
        <w:rPr>
          <w:sz w:val="22"/>
          <w:szCs w:val="22"/>
          <w:u w:val="single"/>
        </w:rPr>
        <w:t>г</w:t>
      </w:r>
      <w:proofErr w:type="gramEnd"/>
      <w:r w:rsidRPr="00DB6725">
        <w:rPr>
          <w:sz w:val="22"/>
          <w:szCs w:val="22"/>
          <w:u w:val="single"/>
        </w:rPr>
        <w:t xml:space="preserve">. Перми </w:t>
      </w:r>
      <w:r w:rsidRPr="00DB6725">
        <w:rPr>
          <w:sz w:val="22"/>
          <w:szCs w:val="22"/>
        </w:rPr>
        <w:t>- в течение 7-ми (Семи) рабочих дней с момента заключения контракта.</w:t>
      </w:r>
    </w:p>
    <w:p w:rsidR="005B7A4C" w:rsidRPr="00DB6725" w:rsidRDefault="005B7A4C" w:rsidP="005B7A4C">
      <w:pPr>
        <w:suppressAutoHyphens w:val="0"/>
        <w:jc w:val="both"/>
        <w:rPr>
          <w:sz w:val="22"/>
          <w:szCs w:val="22"/>
        </w:rPr>
      </w:pPr>
      <w:r w:rsidRPr="00DB6725">
        <w:rPr>
          <w:sz w:val="22"/>
          <w:szCs w:val="22"/>
        </w:rPr>
        <w:t xml:space="preserve">Срок поставки Товара </w:t>
      </w:r>
      <w:r w:rsidRPr="00DB6725">
        <w:rPr>
          <w:sz w:val="22"/>
          <w:szCs w:val="22"/>
          <w:u w:val="single"/>
        </w:rPr>
        <w:t>Получателям</w:t>
      </w:r>
      <w:r w:rsidRPr="00DB6725">
        <w:rPr>
          <w:sz w:val="22"/>
          <w:szCs w:val="22"/>
        </w:rPr>
        <w:t xml:space="preserve">, </w:t>
      </w:r>
      <w:r w:rsidRPr="00DB6725">
        <w:rPr>
          <w:bCs/>
          <w:color w:val="000000"/>
          <w:sz w:val="22"/>
          <w:szCs w:val="22"/>
        </w:rPr>
        <w:t xml:space="preserve">указанным в Реестре Получателей Товара, который предоставляется Поставщику Заказчиком, </w:t>
      </w:r>
      <w:r w:rsidRPr="00DB6725">
        <w:rPr>
          <w:color w:val="000000"/>
          <w:sz w:val="22"/>
          <w:szCs w:val="22"/>
        </w:rPr>
        <w:t xml:space="preserve">в течение 30-ти (Тридцати) календарных дней с момента передачи Реестра Получателей Товара, но не ранее подписания Сторонами </w:t>
      </w:r>
      <w:r w:rsidRPr="00DB6725">
        <w:rPr>
          <w:bCs/>
          <w:sz w:val="22"/>
          <w:szCs w:val="22"/>
        </w:rPr>
        <w:t xml:space="preserve">Акта выборочной </w:t>
      </w:r>
      <w:r w:rsidRPr="00DB6725">
        <w:rPr>
          <w:sz w:val="22"/>
          <w:szCs w:val="22"/>
        </w:rPr>
        <w:t>проверки поставляемого товара.</w:t>
      </w:r>
    </w:p>
    <w:p w:rsidR="005B7A4C" w:rsidRPr="00DB6725" w:rsidRDefault="005B7A4C" w:rsidP="005B7A4C">
      <w:pPr>
        <w:widowControl/>
        <w:suppressAutoHyphens w:val="0"/>
        <w:autoSpaceDE w:val="0"/>
        <w:jc w:val="both"/>
        <w:rPr>
          <w:sz w:val="22"/>
          <w:szCs w:val="22"/>
        </w:rPr>
      </w:pPr>
    </w:p>
    <w:p w:rsidR="005B7A4C" w:rsidRPr="00DB6725" w:rsidRDefault="005B7A4C" w:rsidP="005B7A4C">
      <w:pPr>
        <w:widowControl/>
        <w:tabs>
          <w:tab w:val="left" w:pos="7260"/>
        </w:tabs>
        <w:suppressAutoHyphens w:val="0"/>
        <w:autoSpaceDE w:val="0"/>
        <w:jc w:val="both"/>
        <w:rPr>
          <w:b/>
          <w:bCs/>
          <w:sz w:val="22"/>
          <w:szCs w:val="22"/>
        </w:rPr>
      </w:pPr>
      <w:r w:rsidRPr="00DB6725">
        <w:rPr>
          <w:b/>
          <w:bCs/>
          <w:sz w:val="22"/>
          <w:szCs w:val="22"/>
        </w:rPr>
        <w:t>Срок действия государственного контракта</w:t>
      </w:r>
      <w:r w:rsidRPr="00DB6725">
        <w:rPr>
          <w:sz w:val="22"/>
          <w:szCs w:val="22"/>
        </w:rPr>
        <w:t xml:space="preserve"> </w:t>
      </w:r>
      <w:r w:rsidRPr="00DB6725">
        <w:rPr>
          <w:b/>
          <w:bCs/>
          <w:sz w:val="22"/>
          <w:szCs w:val="22"/>
        </w:rPr>
        <w:t>– 28.12.2022 года.</w:t>
      </w:r>
      <w:r w:rsidRPr="00DB6725">
        <w:rPr>
          <w:b/>
          <w:bCs/>
          <w:sz w:val="22"/>
          <w:szCs w:val="22"/>
        </w:rPr>
        <w:tab/>
      </w:r>
    </w:p>
    <w:p w:rsidR="00024A3D" w:rsidRPr="00DB6725" w:rsidRDefault="00024A3D" w:rsidP="00024A3D">
      <w:pPr>
        <w:keepLines/>
        <w:widowControl/>
        <w:shd w:val="clear" w:color="auto" w:fill="FFFFFF"/>
        <w:tabs>
          <w:tab w:val="left" w:pos="0"/>
        </w:tabs>
        <w:autoSpaceDE w:val="0"/>
        <w:spacing w:line="100" w:lineRule="atLeast"/>
        <w:jc w:val="both"/>
        <w:rPr>
          <w:b/>
          <w:bCs/>
          <w:sz w:val="22"/>
          <w:szCs w:val="22"/>
        </w:rPr>
      </w:pPr>
    </w:p>
    <w:p w:rsidR="00526478" w:rsidRPr="00DB6725" w:rsidRDefault="00526478" w:rsidP="00526478">
      <w:pPr>
        <w:keepLines/>
        <w:widowControl/>
        <w:shd w:val="clear" w:color="auto" w:fill="FFFFFF"/>
        <w:tabs>
          <w:tab w:val="left" w:pos="0"/>
        </w:tabs>
        <w:autoSpaceDE w:val="0"/>
        <w:spacing w:line="100" w:lineRule="atLeast"/>
        <w:jc w:val="both"/>
        <w:rPr>
          <w:b/>
          <w:bCs/>
          <w:sz w:val="22"/>
          <w:szCs w:val="22"/>
        </w:rPr>
      </w:pPr>
    </w:p>
    <w:p w:rsidR="006F5FD8" w:rsidRPr="00DB6725" w:rsidRDefault="00A87C74" w:rsidP="00A87C74">
      <w:pPr>
        <w:autoSpaceDE w:val="0"/>
        <w:jc w:val="both"/>
        <w:rPr>
          <w:b/>
          <w:bCs/>
          <w:sz w:val="22"/>
          <w:szCs w:val="22"/>
        </w:rPr>
      </w:pPr>
      <w:r w:rsidRPr="00DB6725">
        <w:rPr>
          <w:b/>
          <w:bCs/>
          <w:sz w:val="22"/>
          <w:szCs w:val="22"/>
        </w:rPr>
        <w:tab/>
      </w:r>
    </w:p>
    <w:p w:rsidR="00803833" w:rsidRPr="00DB6725" w:rsidRDefault="00803833" w:rsidP="006F5FD8">
      <w:pPr>
        <w:keepNext/>
        <w:keepLines/>
        <w:jc w:val="both"/>
        <w:rPr>
          <w:sz w:val="22"/>
          <w:szCs w:val="22"/>
        </w:rPr>
      </w:pPr>
    </w:p>
    <w:sectPr w:rsidR="00803833" w:rsidRPr="00DB6725" w:rsidSect="00AC789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6C96DD4"/>
    <w:multiLevelType w:val="hybridMultilevel"/>
    <w:tmpl w:val="3E0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D41922"/>
    <w:multiLevelType w:val="hybridMultilevel"/>
    <w:tmpl w:val="96025120"/>
    <w:lvl w:ilvl="0" w:tplc="88802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compat/>
  <w:rsids>
    <w:rsidRoot w:val="00B724D7"/>
    <w:rsid w:val="00024A3D"/>
    <w:rsid w:val="00025B99"/>
    <w:rsid w:val="00025F04"/>
    <w:rsid w:val="0007619A"/>
    <w:rsid w:val="00081B16"/>
    <w:rsid w:val="000874F1"/>
    <w:rsid w:val="000B3A6B"/>
    <w:rsid w:val="000B6308"/>
    <w:rsid w:val="00105B43"/>
    <w:rsid w:val="001150C8"/>
    <w:rsid w:val="00115F87"/>
    <w:rsid w:val="00131E83"/>
    <w:rsid w:val="00134B94"/>
    <w:rsid w:val="00134E41"/>
    <w:rsid w:val="001377B7"/>
    <w:rsid w:val="00163291"/>
    <w:rsid w:val="001800E4"/>
    <w:rsid w:val="001A18A8"/>
    <w:rsid w:val="001E2F6A"/>
    <w:rsid w:val="00212AA8"/>
    <w:rsid w:val="0022569C"/>
    <w:rsid w:val="00272175"/>
    <w:rsid w:val="002801EC"/>
    <w:rsid w:val="002944A9"/>
    <w:rsid w:val="00297ED9"/>
    <w:rsid w:val="002B6036"/>
    <w:rsid w:val="002B7165"/>
    <w:rsid w:val="002F6AAF"/>
    <w:rsid w:val="0032020D"/>
    <w:rsid w:val="00335509"/>
    <w:rsid w:val="003B0E2C"/>
    <w:rsid w:val="003C3A55"/>
    <w:rsid w:val="004022E5"/>
    <w:rsid w:val="00415390"/>
    <w:rsid w:val="0044744A"/>
    <w:rsid w:val="004610BC"/>
    <w:rsid w:val="00470F8C"/>
    <w:rsid w:val="004729C5"/>
    <w:rsid w:val="004A1E9E"/>
    <w:rsid w:val="004A62E2"/>
    <w:rsid w:val="00526478"/>
    <w:rsid w:val="00536E13"/>
    <w:rsid w:val="00540DF3"/>
    <w:rsid w:val="00542225"/>
    <w:rsid w:val="00585458"/>
    <w:rsid w:val="00596B03"/>
    <w:rsid w:val="005B1D35"/>
    <w:rsid w:val="005B7A4C"/>
    <w:rsid w:val="005F3740"/>
    <w:rsid w:val="0063679A"/>
    <w:rsid w:val="00664F5C"/>
    <w:rsid w:val="00685BA8"/>
    <w:rsid w:val="006C02A0"/>
    <w:rsid w:val="006D2D6B"/>
    <w:rsid w:val="006D38BD"/>
    <w:rsid w:val="006D6322"/>
    <w:rsid w:val="006E4C0B"/>
    <w:rsid w:val="006F5FD8"/>
    <w:rsid w:val="0070014E"/>
    <w:rsid w:val="00731E34"/>
    <w:rsid w:val="0073424F"/>
    <w:rsid w:val="00736059"/>
    <w:rsid w:val="0076348E"/>
    <w:rsid w:val="00774759"/>
    <w:rsid w:val="007A716A"/>
    <w:rsid w:val="007F00BF"/>
    <w:rsid w:val="007F45B6"/>
    <w:rsid w:val="00803833"/>
    <w:rsid w:val="008208B0"/>
    <w:rsid w:val="00841F9A"/>
    <w:rsid w:val="008852D6"/>
    <w:rsid w:val="008B7D56"/>
    <w:rsid w:val="008E3996"/>
    <w:rsid w:val="00917D76"/>
    <w:rsid w:val="009221DF"/>
    <w:rsid w:val="009330C1"/>
    <w:rsid w:val="00955F7B"/>
    <w:rsid w:val="00956944"/>
    <w:rsid w:val="00992B25"/>
    <w:rsid w:val="009A5FDD"/>
    <w:rsid w:val="009D7BCB"/>
    <w:rsid w:val="009E0EF5"/>
    <w:rsid w:val="00A46846"/>
    <w:rsid w:val="00A55585"/>
    <w:rsid w:val="00A64AAE"/>
    <w:rsid w:val="00A71C97"/>
    <w:rsid w:val="00A754F8"/>
    <w:rsid w:val="00A87C74"/>
    <w:rsid w:val="00A90E71"/>
    <w:rsid w:val="00A93CCE"/>
    <w:rsid w:val="00A971BE"/>
    <w:rsid w:val="00AA2D83"/>
    <w:rsid w:val="00AC7893"/>
    <w:rsid w:val="00AD5D39"/>
    <w:rsid w:val="00B00CEC"/>
    <w:rsid w:val="00B24973"/>
    <w:rsid w:val="00B635DC"/>
    <w:rsid w:val="00B71F3C"/>
    <w:rsid w:val="00B724D7"/>
    <w:rsid w:val="00B75C8A"/>
    <w:rsid w:val="00B966AD"/>
    <w:rsid w:val="00BC0F6E"/>
    <w:rsid w:val="00BC22E6"/>
    <w:rsid w:val="00BD6734"/>
    <w:rsid w:val="00BE25B6"/>
    <w:rsid w:val="00BE5077"/>
    <w:rsid w:val="00BE5A05"/>
    <w:rsid w:val="00C008D8"/>
    <w:rsid w:val="00C00BCB"/>
    <w:rsid w:val="00C13345"/>
    <w:rsid w:val="00C21127"/>
    <w:rsid w:val="00C334CE"/>
    <w:rsid w:val="00C4337D"/>
    <w:rsid w:val="00C46386"/>
    <w:rsid w:val="00C50404"/>
    <w:rsid w:val="00C56E92"/>
    <w:rsid w:val="00C65703"/>
    <w:rsid w:val="00C70D04"/>
    <w:rsid w:val="00C9174D"/>
    <w:rsid w:val="00CB7B18"/>
    <w:rsid w:val="00DA41B2"/>
    <w:rsid w:val="00DA446C"/>
    <w:rsid w:val="00DB02A9"/>
    <w:rsid w:val="00DB6725"/>
    <w:rsid w:val="00DC7910"/>
    <w:rsid w:val="00DD2DB6"/>
    <w:rsid w:val="00E0774D"/>
    <w:rsid w:val="00E1758B"/>
    <w:rsid w:val="00E24B11"/>
    <w:rsid w:val="00E540C7"/>
    <w:rsid w:val="00E865E8"/>
    <w:rsid w:val="00ED4CF2"/>
    <w:rsid w:val="00EE310C"/>
    <w:rsid w:val="00F00819"/>
    <w:rsid w:val="00F16607"/>
    <w:rsid w:val="00F219FC"/>
    <w:rsid w:val="00F6185C"/>
    <w:rsid w:val="00FA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526478"/>
    <w:pPr>
      <w:keepNext/>
      <w:tabs>
        <w:tab w:val="left" w:pos="0"/>
      </w:tabs>
      <w:ind w:right="-228"/>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5D39"/>
    <w:pPr>
      <w:keepNext/>
      <w:shd w:val="clear" w:color="auto" w:fill="FFFFFF"/>
      <w:spacing w:line="100" w:lineRule="atLeast"/>
      <w:jc w:val="both"/>
    </w:pPr>
    <w:rPr>
      <w:sz w:val="28"/>
      <w:szCs w:val="28"/>
    </w:rPr>
  </w:style>
  <w:style w:type="character" w:customStyle="1" w:styleId="a4">
    <w:name w:val="Основной текст с отступом Знак"/>
    <w:basedOn w:val="a0"/>
    <w:link w:val="a3"/>
    <w:rsid w:val="00AD5D39"/>
    <w:rPr>
      <w:rFonts w:ascii="Times New Roman" w:eastAsia="Lucida Sans Unicode" w:hAnsi="Times New Roman" w:cs="Times New Roman"/>
      <w:kern w:val="1"/>
      <w:sz w:val="28"/>
      <w:szCs w:val="28"/>
      <w:shd w:val="clear" w:color="auto" w:fill="FFFFFF"/>
      <w:lang w:eastAsia="ar-SA"/>
    </w:rPr>
  </w:style>
  <w:style w:type="character" w:customStyle="1" w:styleId="10">
    <w:name w:val="Заголовок 1 Знак"/>
    <w:basedOn w:val="a0"/>
    <w:link w:val="1"/>
    <w:rsid w:val="00526478"/>
    <w:rPr>
      <w:rFonts w:ascii="Times New Roman" w:eastAsia="Lucida Sans Unicode" w:hAnsi="Times New Roman" w:cs="Times New Roman"/>
      <w:kern w:val="1"/>
      <w:sz w:val="24"/>
      <w:szCs w:val="24"/>
      <w:lang w:eastAsia="ar-SA"/>
    </w:rPr>
  </w:style>
  <w:style w:type="character" w:styleId="a5">
    <w:name w:val="Hyperlink"/>
    <w:rsid w:val="0022569C"/>
    <w:rPr>
      <w:color w:val="0000FF"/>
      <w:u w:val="single"/>
    </w:rPr>
  </w:style>
  <w:style w:type="paragraph" w:styleId="a6">
    <w:name w:val="List Paragraph"/>
    <w:basedOn w:val="a"/>
    <w:uiPriority w:val="34"/>
    <w:qFormat/>
    <w:rsid w:val="00736059"/>
    <w:pPr>
      <w:ind w:left="720"/>
      <w:contextualSpacing/>
    </w:pPr>
  </w:style>
  <w:style w:type="paragraph" w:customStyle="1" w:styleId="11">
    <w:name w:val="Абзац списка1"/>
    <w:basedOn w:val="a"/>
    <w:rsid w:val="005B7A4C"/>
    <w:pPr>
      <w:widowControl/>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sn.kirilova.59</dc:creator>
  <cp:lastModifiedBy>dn.gorbunov.59</cp:lastModifiedBy>
  <cp:revision>88</cp:revision>
  <dcterms:created xsi:type="dcterms:W3CDTF">2022-01-27T10:18:00Z</dcterms:created>
  <dcterms:modified xsi:type="dcterms:W3CDTF">2022-09-08T04:51:00Z</dcterms:modified>
</cp:coreProperties>
</file>