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57" w:rsidRDefault="00D93E57" w:rsidP="00D93E57">
      <w:pPr>
        <w:widowControl w:val="0"/>
        <w:suppressAutoHyphens/>
        <w:autoSpaceDE w:val="0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Приложение №1 к извещению о </w:t>
      </w:r>
    </w:p>
    <w:p w:rsidR="00D93E57" w:rsidRDefault="00D93E57" w:rsidP="00D93E57">
      <w:pPr>
        <w:widowControl w:val="0"/>
        <w:suppressAutoHyphens/>
        <w:autoSpaceDE w:val="0"/>
        <w:ind w:firstLine="709"/>
        <w:jc w:val="right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tbl>
      <w:tblPr>
        <w:tblW w:w="10065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9923"/>
        <w:gridCol w:w="142"/>
      </w:tblGrid>
      <w:tr w:rsidR="00B85023" w:rsidTr="0063542E">
        <w:trPr>
          <w:gridAfter w:val="1"/>
          <w:wAfter w:w="142" w:type="dxa"/>
        </w:trPr>
        <w:tc>
          <w:tcPr>
            <w:tcW w:w="9923" w:type="dxa"/>
            <w:hideMark/>
          </w:tcPr>
          <w:p w:rsidR="00B85023" w:rsidRDefault="00B85023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Наименование объекта закупки</w:t>
            </w:r>
            <w:r>
              <w:rPr>
                <w:sz w:val="20"/>
                <w:szCs w:val="20"/>
                <w:lang w:eastAsia="en-US"/>
              </w:rPr>
              <w:t>: Поставка инвалидам в 2022 году технических средств реабилитации, а именно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и нарушениях функций выделения.</w:t>
            </w:r>
          </w:p>
        </w:tc>
      </w:tr>
      <w:tr w:rsidR="00B85023" w:rsidTr="0063542E">
        <w:trPr>
          <w:gridAfter w:val="1"/>
          <w:wAfter w:w="142" w:type="dxa"/>
        </w:trPr>
        <w:tc>
          <w:tcPr>
            <w:tcW w:w="9923" w:type="dxa"/>
            <w:hideMark/>
          </w:tcPr>
          <w:p w:rsidR="00B85023" w:rsidRDefault="00B85023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Способ определения:</w:t>
            </w:r>
            <w:r>
              <w:rPr>
                <w:sz w:val="20"/>
                <w:szCs w:val="20"/>
                <w:lang w:eastAsia="en-US"/>
              </w:rPr>
              <w:t xml:space="preserve"> электронный аукцион.</w:t>
            </w:r>
          </w:p>
          <w:p w:rsidR="00B85023" w:rsidRDefault="00B85023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Начальная максимальная цена контракта: </w:t>
            </w:r>
            <w:r>
              <w:rPr>
                <w:b/>
                <w:sz w:val="20"/>
                <w:szCs w:val="20"/>
                <w:lang w:eastAsia="en-US"/>
              </w:rPr>
              <w:t>1 928 000, 00 коп.</w:t>
            </w:r>
          </w:p>
        </w:tc>
      </w:tr>
      <w:tr w:rsidR="00B85023" w:rsidTr="0063542E">
        <w:trPr>
          <w:gridAfter w:val="1"/>
          <w:wAfter w:w="142" w:type="dxa"/>
        </w:trPr>
        <w:tc>
          <w:tcPr>
            <w:tcW w:w="9923" w:type="dxa"/>
            <w:hideMark/>
          </w:tcPr>
          <w:p w:rsidR="00B85023" w:rsidRDefault="00B85023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sz w:val="20"/>
                <w:szCs w:val="20"/>
                <w:lang w:eastAsia="en-US"/>
              </w:rPr>
            </w:pP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Количество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технических средств реабилитации</w:t>
            </w: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19"/>
                <w:rFonts w:eastAsiaTheme="majorEastAsia"/>
                <w:b/>
                <w:sz w:val="20"/>
                <w:szCs w:val="20"/>
                <w:lang w:eastAsia="en-US"/>
              </w:rPr>
              <w:t xml:space="preserve">8 000 </w:t>
            </w:r>
            <w:r>
              <w:rPr>
                <w:b/>
                <w:sz w:val="20"/>
                <w:szCs w:val="20"/>
                <w:lang w:eastAsia="en-US"/>
              </w:rPr>
              <w:t>шт.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B85023" w:rsidTr="0063542E">
        <w:trPr>
          <w:gridAfter w:val="1"/>
          <w:wAfter w:w="142" w:type="dxa"/>
        </w:trPr>
        <w:tc>
          <w:tcPr>
            <w:tcW w:w="9923" w:type="dxa"/>
            <w:hideMark/>
          </w:tcPr>
          <w:p w:rsidR="00B85023" w:rsidRDefault="00B85023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rStyle w:val="FontStyle19"/>
                <w:rFonts w:eastAsiaTheme="majorEastAsia"/>
                <w:sz w:val="20"/>
                <w:szCs w:val="20"/>
              </w:rPr>
            </w:pPr>
            <w:r>
              <w:rPr>
                <w:rStyle w:val="FontStyle19"/>
                <w:rFonts w:eastAsiaTheme="majorEastAsia"/>
                <w:sz w:val="20"/>
                <w:szCs w:val="20"/>
                <w:u w:val="single"/>
                <w:lang w:eastAsia="en-US"/>
              </w:rPr>
              <w:t>Технические и количественные характеристики</w:t>
            </w:r>
            <w:r>
              <w:rPr>
                <w:rStyle w:val="FontStyle19"/>
                <w:rFonts w:eastAsiaTheme="majorEastAsia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B85023" w:rsidTr="0063542E">
        <w:tc>
          <w:tcPr>
            <w:tcW w:w="10065" w:type="dxa"/>
            <w:gridSpan w:val="2"/>
            <w:hideMark/>
          </w:tcPr>
          <w:tbl>
            <w:tblPr>
              <w:tblpPr w:leftFromText="180" w:rightFromText="180" w:bottomFromText="160" w:vertAnchor="text" w:horzAnchor="margin" w:tblpX="289" w:tblpY="125"/>
              <w:tblW w:w="888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1651"/>
              <w:gridCol w:w="1560"/>
              <w:gridCol w:w="4535"/>
              <w:gridCol w:w="1134"/>
            </w:tblGrid>
            <w:tr w:rsidR="00B85023">
              <w:trPr>
                <w:trHeight w:val="932"/>
              </w:trPr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товара по КТРУ/ОКПД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Наименование Согласно Приказу Министерства труда и соц. защиты РФ от 13.02.2018г № 86н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Общие характеристики</w:t>
                  </w:r>
                </w:p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товара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Кол-во</w:t>
                  </w:r>
                </w:p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(</w:t>
                  </w:r>
                  <w:proofErr w:type="spellStart"/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B85023">
              <w:trPr>
                <w:trHeight w:val="751"/>
              </w:trPr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ОКПД 2: 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Наборы-мочеприемники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: мешок-мочеприемник, катетер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лубрицированный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</w:p>
                <w:p w:rsidR="00B85023" w:rsidRDefault="00B85023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21-01-21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keepNext/>
                    <w:tabs>
                      <w:tab w:val="left" w:pos="708"/>
                    </w:tabs>
                    <w:suppressAutoHyphens/>
                    <w:spacing w:line="256" w:lineRule="auto"/>
                    <w:jc w:val="both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Набор для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(Женский) для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периодической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. Готовый к применению набор, который состоит из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лубрицированного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катетера, не требующего дополнительной активации и соединенного с ним мочеприемника (мешка). Специальная упаковка набора позволяет проводить катетеризацию не касаясь катетера руками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.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Мочеприемник объемом не менее 750 мл и не более 1000 мл с нанесенной градуировкой, с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антирефлюксным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клапаном, исключающим риск обратного тока мочи. Катетеры типа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Нелатон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. Размер по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Шарьеру</w:t>
                  </w:r>
                  <w:proofErr w:type="spellEnd"/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: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от 08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ch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(включительно) до 16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ch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(включительно) (в зависимости от антропометрических данных пациента). Длина катетера не менее 18 см (включительно). Наборы одноразовые, стерильные и находятся в индивидуальной упаковке.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tabs>
                      <w:tab w:val="left" w:pos="0"/>
                      <w:tab w:val="left" w:pos="1560"/>
                      <w:tab w:val="left" w:pos="1701"/>
                    </w:tabs>
                    <w:suppressAutoHyphens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4000</w:t>
                  </w:r>
                </w:p>
              </w:tc>
            </w:tr>
            <w:tr w:rsidR="00B85023">
              <w:trPr>
                <w:trHeight w:val="751"/>
              </w:trPr>
              <w:tc>
                <w:tcPr>
                  <w:tcW w:w="16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ОКПД 2: </w:t>
                  </w:r>
                  <w:r>
                    <w:rPr>
                      <w:sz w:val="20"/>
                      <w:szCs w:val="20"/>
                      <w:shd w:val="clear" w:color="auto" w:fill="FFFFFF"/>
                      <w:lang w:eastAsia="en-US"/>
                    </w:rPr>
                    <w:t>32.50.13.190-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Наборы-мочеприемники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: мешок-мочеприемник, катетер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лубрицированный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для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</w:p>
                <w:p w:rsidR="00B85023" w:rsidRDefault="00B85023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21-01-21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keepNext/>
                    <w:tabs>
                      <w:tab w:val="left" w:pos="708"/>
                    </w:tabs>
                    <w:suppressAutoHyphens/>
                    <w:spacing w:line="256" w:lineRule="auto"/>
                    <w:jc w:val="both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Набор для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(Мужской) для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периодической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самокатетеризации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. Готовый к применению набор, который состоит из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лубрицированного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катетера, не требующего дополнительной активации и соединенного с ним мочеприемника (мешка). Специальная упаковка набора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позволяет проводить катетеризацию не касаясь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катетера руками. Мочеприемник объемом не менее 750 мл и не более 1000 мл с нанесенной градуировкой, с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антирефлюксным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клапаном, исключающим риск обратного тока мочи. Катетеры типа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Нелатон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. Размер по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Шарьеру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: от 08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ch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(включительно) до 16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>ch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  <w:lang w:eastAsia="en-US"/>
                    </w:rPr>
                    <w:t xml:space="preserve"> (включительно) (в зависимости от антропометрических данных пациента). Длина катетера не менее 40 см (включительно). Наборы одноразовые, стерильные и находятся в индивидуальной упаковке.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4000</w:t>
                  </w:r>
                </w:p>
              </w:tc>
            </w:tr>
            <w:tr w:rsidR="00B85023">
              <w:trPr>
                <w:trHeight w:val="311"/>
              </w:trPr>
              <w:tc>
                <w:tcPr>
                  <w:tcW w:w="321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ind w:firstLine="11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85023" w:rsidRDefault="00B85023">
                  <w:pPr>
                    <w:widowControl w:val="0"/>
                    <w:spacing w:line="256" w:lineRule="auto"/>
                    <w:ind w:right="154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hideMark/>
                </w:tcPr>
                <w:p w:rsidR="00B85023" w:rsidRDefault="00B85023">
                  <w:pPr>
                    <w:spacing w:line="256" w:lineRule="auto"/>
                    <w:jc w:val="center"/>
                    <w:rPr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iCs/>
                      <w:sz w:val="20"/>
                      <w:szCs w:val="20"/>
                      <w:lang w:eastAsia="en-US"/>
                    </w:rPr>
                    <w:t>8000</w:t>
                  </w:r>
                </w:p>
              </w:tc>
            </w:tr>
          </w:tbl>
          <w:p w:rsidR="00B85023" w:rsidRDefault="00B8502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85023" w:rsidTr="0063542E">
        <w:tc>
          <w:tcPr>
            <w:tcW w:w="10065" w:type="dxa"/>
            <w:gridSpan w:val="2"/>
          </w:tcPr>
          <w:p w:rsidR="00B85023" w:rsidRDefault="00B85023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3542E" w:rsidRDefault="0063542E" w:rsidP="0063542E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 должен иметь </w:t>
            </w:r>
            <w:proofErr w:type="gramStart"/>
            <w:r>
              <w:rPr>
                <w:sz w:val="20"/>
                <w:szCs w:val="20"/>
              </w:rPr>
              <w:t>действующие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63542E" w:rsidRDefault="0063542E" w:rsidP="0063542E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Регистрационные удостоверения в соответствии с Федеральным законом от 21.11.2011г. N323-ФЗ «Об </w:t>
            </w:r>
            <w:r>
              <w:rPr>
                <w:sz w:val="20"/>
                <w:szCs w:val="20"/>
              </w:rPr>
              <w:lastRenderedPageBreak/>
              <w:t>основах охраны здоровья граждан в Российской Федерации»;</w:t>
            </w:r>
          </w:p>
          <w:p w:rsidR="0063542E" w:rsidRDefault="0063542E" w:rsidP="0063542E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63542E" w:rsidRDefault="0063542E">
            <w:pPr>
              <w:widowControl w:val="0"/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b/>
          <w:sz w:val="20"/>
          <w:szCs w:val="20"/>
          <w:u w:val="single"/>
          <w:lang w:eastAsia="en-US"/>
        </w:rPr>
        <w:lastRenderedPageBreak/>
        <w:t>Срок поставки Товара: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с даты получения</w:t>
      </w:r>
      <w:proofErr w:type="gramEnd"/>
      <w:r>
        <w:rPr>
          <w:sz w:val="20"/>
          <w:szCs w:val="20"/>
          <w:lang w:eastAsia="en-US"/>
        </w:rPr>
        <w:t xml:space="preserve"> от Заказчика реестра получателей Товара </w:t>
      </w:r>
      <w:r>
        <w:rPr>
          <w:b/>
          <w:sz w:val="20"/>
          <w:szCs w:val="20"/>
          <w:lang w:eastAsia="en-US"/>
        </w:rPr>
        <w:t>до 15.12.2022г.</w:t>
      </w:r>
    </w:p>
    <w:p w:rsidR="0063542E" w:rsidRDefault="0063542E" w:rsidP="0063542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  <w:lang w:eastAsia="en-US"/>
        </w:rPr>
        <w:t>Условия поставки: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Поставка 50% от общего количества в течение 10 дней с момента заключения контракта и 50% от общего количества в течение 60 дней с момента заключения контракта.</w:t>
      </w:r>
    </w:p>
    <w:p w:rsidR="0063542E" w:rsidRDefault="0063542E" w:rsidP="0063542E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</w:t>
      </w:r>
      <w:r>
        <w:rPr>
          <w:b/>
          <w:sz w:val="20"/>
          <w:szCs w:val="20"/>
          <w:lang w:eastAsia="zh-CN"/>
        </w:rPr>
        <w:t>15.12.2022.</w:t>
      </w:r>
    </w:p>
    <w:p w:rsidR="0063542E" w:rsidRDefault="0063542E" w:rsidP="0063542E">
      <w:pPr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         </w:t>
      </w:r>
      <w:r>
        <w:rPr>
          <w:sz w:val="20"/>
          <w:szCs w:val="20"/>
        </w:rPr>
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63542E" w:rsidRDefault="0063542E" w:rsidP="0063542E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Выборочная проверка поставляемого Товара осуществляется Заказчиком до поставки Товара Получателям в течение </w:t>
      </w:r>
      <w:r>
        <w:rPr>
          <w:sz w:val="20"/>
          <w:szCs w:val="20"/>
          <w:u w:val="single"/>
        </w:rPr>
        <w:t>3_(трех)</w:t>
      </w:r>
      <w:r>
        <w:rPr>
          <w:sz w:val="20"/>
          <w:szCs w:val="20"/>
        </w:rPr>
        <w:t xml:space="preserve"> рабочих дней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от Поставщика информации о поступлении Товара в субъект Российской Федерации (Республика Бурятия г. Улан-Удэ). По результатам выборочной проверки Заказчик в течение </w:t>
      </w:r>
      <w:r>
        <w:rPr>
          <w:sz w:val="20"/>
          <w:szCs w:val="20"/>
          <w:u w:val="single"/>
        </w:rPr>
        <w:t>5 (пяти)</w:t>
      </w:r>
      <w:r>
        <w:rPr>
          <w:sz w:val="20"/>
          <w:szCs w:val="20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63542E" w:rsidRDefault="0063542E" w:rsidP="0063542E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>Срок действия Направления</w:t>
      </w:r>
      <w:r>
        <w:rPr>
          <w:sz w:val="20"/>
          <w:szCs w:val="20"/>
          <w:u w:val="single"/>
          <w:lang w:eastAsia="en-US"/>
        </w:rPr>
        <w:t>:</w:t>
      </w:r>
      <w:r>
        <w:rPr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до 15.12.2022г</w:t>
      </w:r>
      <w:r>
        <w:rPr>
          <w:sz w:val="20"/>
          <w:szCs w:val="20"/>
          <w:lang w:eastAsia="en-US"/>
        </w:rPr>
        <w:t>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  <w:lang w:eastAsia="en-US"/>
        </w:rPr>
        <w:t xml:space="preserve">Место поставки: </w:t>
      </w:r>
      <w:r>
        <w:rPr>
          <w:sz w:val="20"/>
          <w:szCs w:val="20"/>
          <w:lang w:eastAsia="en-US"/>
        </w:rPr>
        <w:t xml:space="preserve">Республика Бурятия, по месту жительства Получателя или по месту нахождения пункта выдачи. 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Порядок поставки товара: 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Организовать на территории </w:t>
      </w:r>
      <w:proofErr w:type="spellStart"/>
      <w:r>
        <w:rPr>
          <w:sz w:val="20"/>
          <w:szCs w:val="20"/>
          <w:lang w:eastAsia="en-US"/>
        </w:rPr>
        <w:t>г</w:t>
      </w:r>
      <w:proofErr w:type="gramStart"/>
      <w:r>
        <w:rPr>
          <w:sz w:val="20"/>
          <w:szCs w:val="20"/>
          <w:lang w:eastAsia="en-US"/>
        </w:rPr>
        <w:t>.У</w:t>
      </w:r>
      <w:proofErr w:type="gramEnd"/>
      <w:r>
        <w:rPr>
          <w:sz w:val="20"/>
          <w:szCs w:val="20"/>
          <w:lang w:eastAsia="en-US"/>
        </w:rPr>
        <w:t>лан</w:t>
      </w:r>
      <w:proofErr w:type="spellEnd"/>
      <w:r>
        <w:rPr>
          <w:sz w:val="20"/>
          <w:szCs w:val="20"/>
          <w:lang w:eastAsia="en-US"/>
        </w:rPr>
        <w:t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63542E" w:rsidRDefault="0063542E" w:rsidP="0063542E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Представить: </w:t>
      </w:r>
    </w:p>
    <w:p w:rsidR="0063542E" w:rsidRDefault="0063542E" w:rsidP="0063542E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1. действующие регистрационные удостоверения в соответствии с Федеральным законом от 21.11.2011 N323-ФЗ «Об основах охраны здоровья граждан в Российской Федерации»;</w:t>
      </w:r>
    </w:p>
    <w:p w:rsidR="0063542E" w:rsidRDefault="0063542E" w:rsidP="0063542E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2.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по месту жительства Получателя;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пунктах выдачи.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В случае</w:t>
      </w:r>
      <w:proofErr w:type="gramStart"/>
      <w:r>
        <w:rPr>
          <w:sz w:val="20"/>
          <w:szCs w:val="20"/>
          <w:lang w:eastAsia="en-US"/>
        </w:rPr>
        <w:t>,</w:t>
      </w:r>
      <w:proofErr w:type="gramEnd"/>
      <w:r>
        <w:rPr>
          <w:sz w:val="20"/>
          <w:szCs w:val="20"/>
          <w:lang w:eastAsia="en-US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акте-приема - передачи товара. 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b/>
          <w:sz w:val="20"/>
          <w:szCs w:val="20"/>
          <w:lang w:eastAsia="en-US"/>
        </w:rPr>
      </w:pPr>
      <w:bookmarkStart w:id="0" w:name="_GoBack"/>
      <w:bookmarkEnd w:id="0"/>
      <w:r>
        <w:rPr>
          <w:b/>
          <w:sz w:val="20"/>
          <w:szCs w:val="20"/>
          <w:lang w:eastAsia="en-US"/>
        </w:rPr>
        <w:lastRenderedPageBreak/>
        <w:t>Требования к гарантии качества технических средств реабилитации.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Данные средства являются продукцией одноразовой, в связи с чем, срок предоставления гарантии качества специальных сре</w:t>
      </w:r>
      <w:proofErr w:type="gramStart"/>
      <w:r>
        <w:rPr>
          <w:sz w:val="20"/>
          <w:szCs w:val="20"/>
          <w:lang w:eastAsia="en-US"/>
        </w:rPr>
        <w:t>дств пр</w:t>
      </w:r>
      <w:proofErr w:type="gramEnd"/>
      <w:r>
        <w:rPr>
          <w:sz w:val="20"/>
          <w:szCs w:val="20"/>
          <w:lang w:eastAsia="en-US"/>
        </w:rPr>
        <w:t xml:space="preserve">и нарушениях функций выделения не устанавливается. 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Срок годности специальных сре</w:t>
      </w:r>
      <w:proofErr w:type="gramStart"/>
      <w:r>
        <w:rPr>
          <w:sz w:val="20"/>
          <w:szCs w:val="20"/>
          <w:lang w:eastAsia="en-US"/>
        </w:rPr>
        <w:t>дств пр</w:t>
      </w:r>
      <w:proofErr w:type="gramEnd"/>
      <w:r>
        <w:rPr>
          <w:sz w:val="20"/>
          <w:szCs w:val="20"/>
          <w:lang w:eastAsia="en-US"/>
        </w:rPr>
        <w:t>и нарушении функций выделения – не менее 6 (шести) месяцев на дату поставки Товара Получателям.</w:t>
      </w:r>
    </w:p>
    <w:p w:rsidR="0063542E" w:rsidRDefault="0063542E" w:rsidP="0063542E">
      <w:pPr>
        <w:pStyle w:val="Style8"/>
        <w:tabs>
          <w:tab w:val="left" w:pos="0"/>
          <w:tab w:val="left" w:pos="1560"/>
          <w:tab w:val="left" w:pos="1701"/>
        </w:tabs>
        <w:spacing w:line="276" w:lineRule="auto"/>
        <w:ind w:firstLine="42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Поставщик обязан принять от Получателя некачественный Товар и заменить его в течение 5 (пяти) календарных дней </w:t>
      </w:r>
      <w:proofErr w:type="gramStart"/>
      <w:r>
        <w:rPr>
          <w:sz w:val="20"/>
          <w:szCs w:val="20"/>
          <w:lang w:eastAsia="en-US"/>
        </w:rPr>
        <w:t>с даты</w:t>
      </w:r>
      <w:proofErr w:type="gramEnd"/>
      <w:r>
        <w:rPr>
          <w:sz w:val="20"/>
          <w:szCs w:val="20"/>
          <w:lang w:eastAsia="en-US"/>
        </w:rPr>
        <w:t xml:space="preserve"> его обращения на аналогичный Товар надлежащего качества.</w:t>
      </w:r>
    </w:p>
    <w:tbl>
      <w:tblPr>
        <w:tblW w:w="9883" w:type="dxa"/>
        <w:tblInd w:w="-142" w:type="dxa"/>
        <w:tblLook w:val="01E0" w:firstRow="1" w:lastRow="1" w:firstColumn="1" w:lastColumn="1" w:noHBand="0" w:noVBand="0"/>
      </w:tblPr>
      <w:tblGrid>
        <w:gridCol w:w="9888"/>
      </w:tblGrid>
      <w:tr w:rsidR="0063542E" w:rsidTr="0063542E">
        <w:trPr>
          <w:trHeight w:val="473"/>
        </w:trPr>
        <w:tc>
          <w:tcPr>
            <w:tcW w:w="9883" w:type="dxa"/>
            <w:hideMark/>
          </w:tcPr>
          <w:p w:rsidR="0063542E" w:rsidRDefault="0063542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  Конструкция специальных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пр</w:t>
            </w:r>
            <w:proofErr w:type="gramEnd"/>
            <w:r>
              <w:rPr>
                <w:sz w:val="20"/>
                <w:szCs w:val="20"/>
                <w:lang w:eastAsia="en-US"/>
              </w:rPr>
              <w:t>и нарушениях функций выделения должна обеспечивать пользователю удобство и простоту обращения с ними;</w:t>
            </w:r>
          </w:p>
        </w:tc>
      </w:tr>
      <w:tr w:rsidR="0063542E" w:rsidTr="0063542E">
        <w:trPr>
          <w:trHeight w:val="457"/>
        </w:trPr>
        <w:tc>
          <w:tcPr>
            <w:tcW w:w="9883" w:type="dxa"/>
            <w:hideMark/>
          </w:tcPr>
          <w:p w:rsidR="0063542E" w:rsidRDefault="0063542E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В специальных средствах при нарушениях функций не допускаются механические повреждения (разрыв края, разрезы и т.п.), видимые невооруженным глазом;</w:t>
            </w:r>
          </w:p>
        </w:tc>
      </w:tr>
      <w:tr w:rsidR="0063542E" w:rsidTr="0063542E">
        <w:trPr>
          <w:trHeight w:val="7019"/>
        </w:trPr>
        <w:tc>
          <w:tcPr>
            <w:tcW w:w="9883" w:type="dxa"/>
            <w:hideMark/>
          </w:tcPr>
          <w:p w:rsidR="0063542E" w:rsidRDefault="0063542E">
            <w:pPr>
              <w:pStyle w:val="Style8"/>
              <w:tabs>
                <w:tab w:val="left" w:pos="1560"/>
                <w:tab w:val="left" w:pos="1701"/>
              </w:tabs>
              <w:spacing w:line="240" w:lineRule="auto"/>
              <w:ind w:left="34" w:firstLine="4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Специальные средства при нарушениях функций выделения, средства ухода за кишечными </w:t>
            </w:r>
            <w:proofErr w:type="spellStart"/>
            <w:r>
              <w:rPr>
                <w:sz w:val="20"/>
                <w:szCs w:val="20"/>
                <w:lang w:eastAsia="en-US"/>
              </w:rPr>
              <w:t>стомами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должны соответствовать требованиям национальных стандартов РФ: ГОСТ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58235-2018 «Специальные средства при нарушении функции выделения. Термины и определения. Классификация» и ГОСТ 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58237-2018 «Средства ухода за кишечными </w:t>
            </w:r>
            <w:proofErr w:type="spellStart"/>
            <w:r>
              <w:rPr>
                <w:sz w:val="20"/>
                <w:szCs w:val="20"/>
                <w:lang w:eastAsia="en-US"/>
              </w:rPr>
              <w:t>стомами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>
              <w:rPr>
                <w:sz w:val="20"/>
                <w:szCs w:val="20"/>
                <w:lang w:eastAsia="en-US"/>
              </w:rPr>
              <w:t>стомы</w:t>
            </w:r>
            <w:proofErr w:type="spellEnd"/>
            <w:r>
              <w:rPr>
                <w:sz w:val="20"/>
                <w:szCs w:val="20"/>
                <w:lang w:eastAsia="en-US"/>
              </w:rPr>
              <w:t>. Характеристики и основные требования. Методы испытаний».</w:t>
            </w:r>
          </w:p>
          <w:tbl>
            <w:tblPr>
              <w:tblW w:w="9672" w:type="dxa"/>
              <w:tblLook w:val="01E0" w:firstRow="1" w:lastRow="1" w:firstColumn="1" w:lastColumn="1" w:noHBand="0" w:noVBand="0"/>
            </w:tblPr>
            <w:tblGrid>
              <w:gridCol w:w="9672"/>
            </w:tblGrid>
            <w:tr w:rsidR="0063542E">
              <w:trPr>
                <w:trHeight w:val="5844"/>
              </w:trPr>
              <w:tc>
                <w:tcPr>
                  <w:tcW w:w="9672" w:type="dxa"/>
                  <w:hideMark/>
                </w:tcPr>
                <w:p w:rsidR="0063542E" w:rsidRDefault="0063542E">
                  <w:pPr>
                    <w:pStyle w:val="Style8"/>
                    <w:tabs>
                      <w:tab w:val="left" w:pos="0"/>
                      <w:tab w:val="left" w:pos="1560"/>
                      <w:tab w:val="left" w:pos="1701"/>
                    </w:tabs>
                    <w:spacing w:line="240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Специальные средства при нарушениях функций выделения должны соответствовать требованиям стандартов ГОСТ ISO 10993-1-2021 «Изделия медицинские. Оценка биологического действия медицинских изделий»,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ГОСТ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52770-2016</w:t>
                  </w: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«Изделия медицинские. Требования безопасности. Методы санитарно-химических и токсикологических испытаний», ГОСТ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50444-2020 «Приборы, аппараты и оборудование медицинские. Общие технические условия», ГОСТ ISO 10993-11-2021 «Изделия медицинские. Оценка биологического действия медицинских изделий.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Часть 11. Исследования общетоксического действия</w:t>
                  </w:r>
                  <w:r>
                    <w:rPr>
                      <w:sz w:val="20"/>
                      <w:szCs w:val="20"/>
                      <w:lang w:eastAsia="en-US"/>
                    </w:rPr>
                    <w:t>», ГОСТ ISO 10993-10-2011 «Изделия медицинские. Оценка биологического действия медицинских изделий.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Часть 10. Исследования раздражающего и сенсибилизирующего действия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», ГОСТ ISO 10993-5-2011 «Изделия медицинские. Оценка биологического действия медицинских изделий.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Часть 5. Исследования на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цитотоксичность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: методы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in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vitro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»; ГОСТ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пирогенность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>».</w:t>
                  </w:r>
                </w:p>
                <w:p w:rsidR="0063542E" w:rsidRDefault="0063542E">
                  <w:pPr>
                    <w:pStyle w:val="Style8"/>
                    <w:tabs>
                      <w:tab w:val="left" w:pos="0"/>
                      <w:tab w:val="left" w:pos="387"/>
                      <w:tab w:val="left" w:pos="1560"/>
                      <w:tab w:val="left" w:pos="1701"/>
                    </w:tabs>
                    <w:spacing w:line="240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Специальные средства при нарушениях функций выделения должны соответствовать требованиям стандартов 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10993-1-2021 «Изделия медицинские. Оценка биологического действия медицинских изделий», 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10993-3-2018 «Изделия медицинские. Оценка биологического действия медицинских изделий».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10993-4-2020 «Изделия медицинские. Оценка биологического действия медицинских изделий.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Часть 4. Исследования изделий, взаимодействующих с кровью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», 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10993-5-2011 «Изделия медицинские. Оценка биологического действия медицинских изделий.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Часть 5. Исследования на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цитотоксичность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: методы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in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vitro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», 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10993-6-2021 «Изделия медицинские. Оценка биологического действия медицинских изделий.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Часть 6. Исследования местного действия после имплантации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», 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10993-10-2021 «Изделия медицинские. Оценка биологического действия медицинских изделий.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Часть 10. Исследования раздражающего и сенсибилизирующего действия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», ГОСТ </w:t>
                  </w:r>
                  <w:r>
                    <w:rPr>
                      <w:sz w:val="20"/>
                      <w:szCs w:val="20"/>
                      <w:lang w:val="en-US" w:eastAsia="en-US"/>
                    </w:rPr>
                    <w:t>ISO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10993-11-2021 «Изделия медицинские. Оценка биологического действия медицинских изделий.</w:t>
                  </w:r>
                  <w:r>
                    <w:rPr>
                      <w:b/>
                      <w:bCs/>
                      <w:color w:val="2D2D2D"/>
                      <w:spacing w:val="2"/>
                      <w:kern w:val="36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Часть 11. Исследования общетоксического действия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»,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ГОСТ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eastAsia="en-US"/>
                    </w:rPr>
                    <w:t>Р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52770-2016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«Изделия медицинские. Требования безопасности. Методы санитарно-химических и токсикологических испытаний».</w:t>
                  </w:r>
                </w:p>
              </w:tc>
            </w:tr>
          </w:tbl>
          <w:p w:rsidR="0063542E" w:rsidRDefault="0063542E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93E57" w:rsidRDefault="00D93E57" w:rsidP="00920BB0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sectPr w:rsidR="00D93E57" w:rsidSect="005505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5"/>
    <w:rsid w:val="000238FF"/>
    <w:rsid w:val="00070B2B"/>
    <w:rsid w:val="00092CF5"/>
    <w:rsid w:val="00153AF6"/>
    <w:rsid w:val="00154DE5"/>
    <w:rsid w:val="001616F5"/>
    <w:rsid w:val="001A3D98"/>
    <w:rsid w:val="001B51A8"/>
    <w:rsid w:val="001E42FF"/>
    <w:rsid w:val="00222822"/>
    <w:rsid w:val="002301BA"/>
    <w:rsid w:val="002472D1"/>
    <w:rsid w:val="002D0145"/>
    <w:rsid w:val="00324733"/>
    <w:rsid w:val="003440A5"/>
    <w:rsid w:val="0039790D"/>
    <w:rsid w:val="00412313"/>
    <w:rsid w:val="00486633"/>
    <w:rsid w:val="004B57DD"/>
    <w:rsid w:val="00537508"/>
    <w:rsid w:val="005375B7"/>
    <w:rsid w:val="005455FD"/>
    <w:rsid w:val="00550523"/>
    <w:rsid w:val="005553D1"/>
    <w:rsid w:val="005606AC"/>
    <w:rsid w:val="005F3BEA"/>
    <w:rsid w:val="0063542E"/>
    <w:rsid w:val="006C5023"/>
    <w:rsid w:val="006D2469"/>
    <w:rsid w:val="00706EFC"/>
    <w:rsid w:val="00787B57"/>
    <w:rsid w:val="00792BD3"/>
    <w:rsid w:val="00792FDE"/>
    <w:rsid w:val="00794BCE"/>
    <w:rsid w:val="007B7C7B"/>
    <w:rsid w:val="008B5D88"/>
    <w:rsid w:val="00916D35"/>
    <w:rsid w:val="00920BB0"/>
    <w:rsid w:val="00926335"/>
    <w:rsid w:val="00935795"/>
    <w:rsid w:val="009A7047"/>
    <w:rsid w:val="009B5CF7"/>
    <w:rsid w:val="009D6A0C"/>
    <w:rsid w:val="00A21CBA"/>
    <w:rsid w:val="00A372DD"/>
    <w:rsid w:val="00AA6A54"/>
    <w:rsid w:val="00B17667"/>
    <w:rsid w:val="00B20F27"/>
    <w:rsid w:val="00B41492"/>
    <w:rsid w:val="00B833D6"/>
    <w:rsid w:val="00B85023"/>
    <w:rsid w:val="00BC5B99"/>
    <w:rsid w:val="00C33ACD"/>
    <w:rsid w:val="00C518B0"/>
    <w:rsid w:val="00CC0588"/>
    <w:rsid w:val="00CC79F8"/>
    <w:rsid w:val="00CE0FE4"/>
    <w:rsid w:val="00CE352E"/>
    <w:rsid w:val="00D3094B"/>
    <w:rsid w:val="00D60233"/>
    <w:rsid w:val="00D93E57"/>
    <w:rsid w:val="00D942A8"/>
    <w:rsid w:val="00DD3440"/>
    <w:rsid w:val="00E217DE"/>
    <w:rsid w:val="00E359B0"/>
    <w:rsid w:val="00E5629C"/>
    <w:rsid w:val="00E620B9"/>
    <w:rsid w:val="00E74EE8"/>
    <w:rsid w:val="00EA2A35"/>
    <w:rsid w:val="00EB5342"/>
    <w:rsid w:val="00EC308C"/>
    <w:rsid w:val="00ED14EF"/>
    <w:rsid w:val="00ED2A44"/>
    <w:rsid w:val="00F232AF"/>
    <w:rsid w:val="00F24A9F"/>
    <w:rsid w:val="00F5049D"/>
    <w:rsid w:val="00F53E8E"/>
    <w:rsid w:val="00F63C9F"/>
    <w:rsid w:val="00F7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920BB0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920BB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2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3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Хамнуева Нина Александровна</dc:creator>
  <cp:keywords/>
  <dc:description/>
  <cp:lastModifiedBy>Барышникова Оксана Владимировна</cp:lastModifiedBy>
  <cp:revision>73</cp:revision>
  <cp:lastPrinted>2022-09-01T03:32:00Z</cp:lastPrinted>
  <dcterms:created xsi:type="dcterms:W3CDTF">2019-11-12T08:35:00Z</dcterms:created>
  <dcterms:modified xsi:type="dcterms:W3CDTF">2022-09-16T02:24:00Z</dcterms:modified>
</cp:coreProperties>
</file>