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6940E7" w:rsidRDefault="005F7457" w:rsidP="00A228FF">
      <w:pPr>
        <w:keepLines/>
        <w:widowControl w:val="0"/>
        <w:jc w:val="center"/>
        <w:rPr>
          <w:b/>
          <w:szCs w:val="24"/>
        </w:rPr>
      </w:pPr>
      <w:r w:rsidRPr="006940E7">
        <w:rPr>
          <w:b/>
          <w:szCs w:val="24"/>
        </w:rPr>
        <w:t>Техническое задание</w:t>
      </w:r>
      <w:r w:rsidR="00BF7B4A" w:rsidRPr="006940E7">
        <w:rPr>
          <w:b/>
          <w:szCs w:val="24"/>
        </w:rPr>
        <w:t xml:space="preserve"> (описание объекта закупки и условия исполнения государственного контракта)</w:t>
      </w:r>
    </w:p>
    <w:p w14:paraId="3B4D6A45" w14:textId="77777777" w:rsidR="005453D6" w:rsidRDefault="005453D6" w:rsidP="00A228FF">
      <w:pPr>
        <w:keepLines/>
        <w:widowControl w:val="0"/>
        <w:jc w:val="center"/>
        <w:rPr>
          <w:b/>
          <w:szCs w:val="24"/>
        </w:rPr>
      </w:pPr>
    </w:p>
    <w:p w14:paraId="1F935591" w14:textId="2FD63E6A" w:rsidR="00E9144B" w:rsidRDefault="00B16B16" w:rsidP="006D0631">
      <w:pPr>
        <w:keepLines/>
        <w:widowControl w:val="0"/>
        <w:jc w:val="center"/>
        <w:rPr>
          <w:b/>
          <w:szCs w:val="24"/>
        </w:rPr>
      </w:pPr>
      <w:r w:rsidRPr="00B16B16">
        <w:rPr>
          <w:b/>
          <w:szCs w:val="24"/>
        </w:rPr>
        <w:t>Выполнение работ по обеспечению застрахованного лица, получившего повреждение здоровья вследствие несчастного случая на производстве, протезами нижних конечностей</w:t>
      </w:r>
    </w:p>
    <w:tbl>
      <w:tblPr>
        <w:tblStyle w:val="2f7"/>
        <w:tblpPr w:leftFromText="180" w:rightFromText="180" w:vertAnchor="text" w:tblpY="1"/>
        <w:tblOverlap w:val="never"/>
        <w:tblW w:w="14992" w:type="dxa"/>
        <w:tblLayout w:type="fixed"/>
        <w:tblLook w:val="04A0" w:firstRow="1" w:lastRow="0" w:firstColumn="1" w:lastColumn="0" w:noHBand="0" w:noVBand="1"/>
      </w:tblPr>
      <w:tblGrid>
        <w:gridCol w:w="540"/>
        <w:gridCol w:w="2403"/>
        <w:gridCol w:w="6521"/>
        <w:gridCol w:w="993"/>
        <w:gridCol w:w="826"/>
        <w:gridCol w:w="2008"/>
        <w:gridCol w:w="1701"/>
      </w:tblGrid>
      <w:tr w:rsidR="00A103BB" w:rsidRPr="00A103BB" w14:paraId="69A7CD68" w14:textId="77777777" w:rsidTr="00A774C8">
        <w:tc>
          <w:tcPr>
            <w:tcW w:w="540" w:type="dxa"/>
          </w:tcPr>
          <w:p w14:paraId="69949EA3" w14:textId="77777777" w:rsidR="00A103BB" w:rsidRPr="00A103BB" w:rsidRDefault="00A103BB" w:rsidP="00124B64">
            <w:pPr>
              <w:widowControl w:val="0"/>
              <w:jc w:val="center"/>
              <w:rPr>
                <w:sz w:val="24"/>
                <w:szCs w:val="24"/>
              </w:rPr>
            </w:pPr>
            <w:r w:rsidRPr="00A103BB">
              <w:rPr>
                <w:sz w:val="24"/>
                <w:szCs w:val="24"/>
              </w:rPr>
              <w:t>№ п/п</w:t>
            </w:r>
          </w:p>
        </w:tc>
        <w:tc>
          <w:tcPr>
            <w:tcW w:w="2403" w:type="dxa"/>
          </w:tcPr>
          <w:p w14:paraId="7F4AB3E0" w14:textId="77777777" w:rsidR="00A103BB" w:rsidRPr="00A103BB" w:rsidRDefault="00A103BB" w:rsidP="00A103BB">
            <w:pPr>
              <w:widowControl w:val="0"/>
              <w:jc w:val="center"/>
              <w:rPr>
                <w:sz w:val="24"/>
                <w:szCs w:val="24"/>
              </w:rPr>
            </w:pPr>
            <w:r w:rsidRPr="00A103BB">
              <w:rPr>
                <w:sz w:val="24"/>
                <w:szCs w:val="24"/>
              </w:rPr>
              <w:t>Наименование товара, работ, услуг</w:t>
            </w:r>
          </w:p>
        </w:tc>
        <w:tc>
          <w:tcPr>
            <w:tcW w:w="6521" w:type="dxa"/>
          </w:tcPr>
          <w:p w14:paraId="6FE39893" w14:textId="77777777" w:rsidR="00A103BB" w:rsidRPr="00A103BB" w:rsidRDefault="00A103BB" w:rsidP="00A103BB">
            <w:pPr>
              <w:widowControl w:val="0"/>
              <w:jc w:val="center"/>
              <w:rPr>
                <w:sz w:val="24"/>
                <w:szCs w:val="24"/>
              </w:rPr>
            </w:pPr>
            <w:r w:rsidRPr="00A103BB">
              <w:rPr>
                <w:sz w:val="24"/>
                <w:szCs w:val="24"/>
              </w:rPr>
              <w:t>Описание объекта закупки</w:t>
            </w:r>
          </w:p>
        </w:tc>
        <w:tc>
          <w:tcPr>
            <w:tcW w:w="993" w:type="dxa"/>
          </w:tcPr>
          <w:p w14:paraId="09613784" w14:textId="77777777" w:rsidR="00A103BB" w:rsidRPr="00A103BB" w:rsidRDefault="00A103BB" w:rsidP="00A103BB">
            <w:pPr>
              <w:widowControl w:val="0"/>
              <w:jc w:val="center"/>
              <w:rPr>
                <w:sz w:val="24"/>
                <w:szCs w:val="24"/>
              </w:rPr>
            </w:pPr>
            <w:r w:rsidRPr="00A103BB">
              <w:rPr>
                <w:sz w:val="24"/>
                <w:szCs w:val="24"/>
              </w:rPr>
              <w:t>Ед. изм.</w:t>
            </w:r>
          </w:p>
        </w:tc>
        <w:tc>
          <w:tcPr>
            <w:tcW w:w="826" w:type="dxa"/>
          </w:tcPr>
          <w:p w14:paraId="719B7D05" w14:textId="77777777" w:rsidR="00A103BB" w:rsidRPr="00A103BB" w:rsidRDefault="00A103BB" w:rsidP="00A103BB">
            <w:pPr>
              <w:widowControl w:val="0"/>
              <w:jc w:val="center"/>
              <w:rPr>
                <w:sz w:val="24"/>
                <w:szCs w:val="24"/>
              </w:rPr>
            </w:pPr>
            <w:r w:rsidRPr="00A103BB">
              <w:rPr>
                <w:sz w:val="24"/>
                <w:szCs w:val="24"/>
              </w:rPr>
              <w:t>Кол-во</w:t>
            </w:r>
          </w:p>
        </w:tc>
        <w:tc>
          <w:tcPr>
            <w:tcW w:w="2008" w:type="dxa"/>
          </w:tcPr>
          <w:p w14:paraId="75182040" w14:textId="77777777" w:rsidR="00A103BB" w:rsidRPr="00A103BB" w:rsidRDefault="00A103BB" w:rsidP="00A103BB">
            <w:pPr>
              <w:widowControl w:val="0"/>
              <w:jc w:val="center"/>
              <w:rPr>
                <w:sz w:val="24"/>
                <w:szCs w:val="24"/>
                <w:vertAlign w:val="superscript"/>
              </w:rPr>
            </w:pPr>
            <w:r w:rsidRPr="00A103BB">
              <w:rPr>
                <w:sz w:val="24"/>
                <w:szCs w:val="24"/>
              </w:rPr>
              <w:t>Цена за единицу измерения, руб.</w:t>
            </w:r>
            <w:r w:rsidRPr="00A103BB">
              <w:rPr>
                <w:sz w:val="24"/>
                <w:szCs w:val="24"/>
                <w:vertAlign w:val="superscript"/>
              </w:rPr>
              <w:footnoteReference w:id="1"/>
            </w:r>
          </w:p>
        </w:tc>
        <w:tc>
          <w:tcPr>
            <w:tcW w:w="1701" w:type="dxa"/>
          </w:tcPr>
          <w:p w14:paraId="399A25C5" w14:textId="77777777" w:rsidR="00A103BB" w:rsidRPr="00A103BB" w:rsidRDefault="00A103BB" w:rsidP="00A103BB">
            <w:pPr>
              <w:widowControl w:val="0"/>
              <w:jc w:val="center"/>
              <w:rPr>
                <w:sz w:val="24"/>
                <w:szCs w:val="24"/>
                <w:vertAlign w:val="superscript"/>
              </w:rPr>
            </w:pPr>
            <w:r w:rsidRPr="00A103BB">
              <w:rPr>
                <w:sz w:val="24"/>
                <w:szCs w:val="24"/>
              </w:rPr>
              <w:t>Стоимость позиции, руб.</w:t>
            </w:r>
            <w:r w:rsidRPr="00A103BB">
              <w:rPr>
                <w:sz w:val="24"/>
                <w:szCs w:val="24"/>
                <w:vertAlign w:val="superscript"/>
              </w:rPr>
              <w:footnoteReference w:id="2"/>
            </w:r>
          </w:p>
        </w:tc>
      </w:tr>
      <w:tr w:rsidR="00A103BB" w:rsidRPr="00A103BB" w14:paraId="65FE2E9C" w14:textId="77777777" w:rsidTr="00A774C8">
        <w:tc>
          <w:tcPr>
            <w:tcW w:w="540" w:type="dxa"/>
          </w:tcPr>
          <w:p w14:paraId="657FFCA0" w14:textId="77777777" w:rsidR="00A103BB" w:rsidRPr="00A103BB" w:rsidRDefault="00A103BB" w:rsidP="00124B64">
            <w:pPr>
              <w:widowControl w:val="0"/>
              <w:jc w:val="center"/>
              <w:rPr>
                <w:sz w:val="24"/>
                <w:szCs w:val="24"/>
              </w:rPr>
            </w:pPr>
            <w:r w:rsidRPr="00A103BB">
              <w:rPr>
                <w:sz w:val="24"/>
                <w:szCs w:val="24"/>
              </w:rPr>
              <w:t>1.</w:t>
            </w:r>
          </w:p>
        </w:tc>
        <w:tc>
          <w:tcPr>
            <w:tcW w:w="2403" w:type="dxa"/>
          </w:tcPr>
          <w:p w14:paraId="4154DC39" w14:textId="77777777" w:rsidR="00A103BB" w:rsidRPr="00A103BB" w:rsidRDefault="00A103BB" w:rsidP="00A103BB">
            <w:pPr>
              <w:widowControl w:val="0"/>
              <w:jc w:val="center"/>
              <w:rPr>
                <w:sz w:val="24"/>
                <w:szCs w:val="24"/>
              </w:rPr>
            </w:pPr>
            <w:r w:rsidRPr="00A103BB">
              <w:rPr>
                <w:sz w:val="24"/>
                <w:szCs w:val="24"/>
              </w:rPr>
              <w:t>Протез бедра модульный, в том числе при врожденном недоразвитии</w:t>
            </w:r>
          </w:p>
        </w:tc>
        <w:tc>
          <w:tcPr>
            <w:tcW w:w="6521" w:type="dxa"/>
            <w:vAlign w:val="center"/>
          </w:tcPr>
          <w:p w14:paraId="6F915903" w14:textId="77777777" w:rsidR="00A103BB" w:rsidRPr="00A103BB" w:rsidRDefault="00A103BB" w:rsidP="00A103BB">
            <w:pPr>
              <w:widowControl w:val="0"/>
              <w:ind w:firstLine="317"/>
              <w:jc w:val="both"/>
              <w:rPr>
                <w:color w:val="000000"/>
                <w:sz w:val="24"/>
                <w:szCs w:val="24"/>
              </w:rPr>
            </w:pPr>
            <w:r w:rsidRPr="00A103BB">
              <w:rPr>
                <w:color w:val="000000"/>
                <w:sz w:val="24"/>
                <w:szCs w:val="24"/>
              </w:rPr>
              <w:t xml:space="preserve">Приемная гильза должна быть индивидуального изготовления </w:t>
            </w:r>
            <w:r w:rsidRPr="00A103BB">
              <w:rPr>
                <w:color w:val="000000"/>
                <w:sz w:val="24"/>
                <w:szCs w:val="24"/>
              </w:rPr>
              <w:br/>
              <w:t xml:space="preserve">по слепку с культи пациента, </w:t>
            </w:r>
            <w:proofErr w:type="spellStart"/>
            <w:r w:rsidRPr="00A103BB">
              <w:rPr>
                <w:color w:val="000000"/>
                <w:sz w:val="24"/>
                <w:szCs w:val="24"/>
              </w:rPr>
              <w:t>скелетированная</w:t>
            </w:r>
            <w:proofErr w:type="spellEnd"/>
            <w:r w:rsidRPr="00A103BB">
              <w:rPr>
                <w:color w:val="000000"/>
                <w:sz w:val="24"/>
                <w:szCs w:val="24"/>
              </w:rPr>
              <w:t xml:space="preserve">, с интегрированной системой изменения объемных размеров в диапазоне от 0 до 2,0 см.  Материал постоянной гильзы должен быть из углепластика на основе акриловых смол. Вкладная гильза должна быть из эластичного пластика. Изготовление пробных гильз должно быть из термопласта. Крепление на пациенте должно быть мышечно-вакуумное, с дополнительным креплением бандажом. Должен быть полицентрический, гидравлический коленный модуль, с функцией эластично-контролируемого подгибания в коленном шарнире (EBS-функция), с двумя гидравлическим цилиндрами, контролирующие режим фазы переноса и режим подгибания в фазе опоры, с максимальным углом сгибания в 175 градусов. Регулировочно-соединительные устройства должны соответствовать весовым и нагрузочным параметрам пациента. Использование поворотного устройства, должно обеспечивать поворот коленного модуля и стопы относительно приемной гильзы на 360 градусов </w:t>
            </w:r>
            <w:r w:rsidRPr="00A103BB">
              <w:rPr>
                <w:color w:val="000000"/>
                <w:sz w:val="24"/>
                <w:szCs w:val="24"/>
              </w:rPr>
              <w:br/>
              <w:t xml:space="preserve">(с целью увеличения самообслуживания пациентов в быту). Стопа должна быть из углепластика с расщепленной носочной частью, отведенным первым пальцем, с взаимозаменяемыми пяточными клиньями с дренажными отверстиями в косметической облицовке. Косметическая облицовка должна быть модульная мягкая пенополиуретановая. Покрытие косметической оболочки </w:t>
            </w:r>
            <w:r w:rsidRPr="00A103BB">
              <w:rPr>
                <w:color w:val="000000"/>
                <w:sz w:val="24"/>
                <w:szCs w:val="24"/>
              </w:rPr>
              <w:lastRenderedPageBreak/>
              <w:t xml:space="preserve">должно быть – чулки ортопедические </w:t>
            </w:r>
            <w:proofErr w:type="spellStart"/>
            <w:r w:rsidRPr="00A103BB">
              <w:rPr>
                <w:color w:val="000000"/>
                <w:sz w:val="24"/>
                <w:szCs w:val="24"/>
              </w:rPr>
              <w:t>перлоновые</w:t>
            </w:r>
            <w:proofErr w:type="spellEnd"/>
            <w:r w:rsidRPr="00A103BB">
              <w:rPr>
                <w:color w:val="000000"/>
                <w:sz w:val="24"/>
                <w:szCs w:val="24"/>
              </w:rPr>
              <w:t>.</w:t>
            </w:r>
          </w:p>
          <w:p w14:paraId="3610ADEB" w14:textId="77777777" w:rsidR="00A103BB" w:rsidRPr="00A103BB" w:rsidRDefault="00A103BB" w:rsidP="00A103BB">
            <w:pPr>
              <w:widowControl w:val="0"/>
              <w:ind w:firstLine="317"/>
              <w:jc w:val="both"/>
              <w:rPr>
                <w:color w:val="FF0000"/>
                <w:sz w:val="24"/>
                <w:szCs w:val="24"/>
              </w:rPr>
            </w:pPr>
          </w:p>
        </w:tc>
        <w:tc>
          <w:tcPr>
            <w:tcW w:w="993" w:type="dxa"/>
          </w:tcPr>
          <w:p w14:paraId="38ECE484" w14:textId="77777777" w:rsidR="00A103BB" w:rsidRPr="00A103BB" w:rsidRDefault="00A103BB" w:rsidP="00A103BB">
            <w:pPr>
              <w:widowControl w:val="0"/>
              <w:jc w:val="center"/>
              <w:rPr>
                <w:sz w:val="24"/>
                <w:szCs w:val="24"/>
              </w:rPr>
            </w:pPr>
            <w:r w:rsidRPr="00A103BB">
              <w:rPr>
                <w:sz w:val="24"/>
                <w:szCs w:val="24"/>
              </w:rPr>
              <w:lastRenderedPageBreak/>
              <w:t>Штука</w:t>
            </w:r>
          </w:p>
        </w:tc>
        <w:tc>
          <w:tcPr>
            <w:tcW w:w="826" w:type="dxa"/>
          </w:tcPr>
          <w:p w14:paraId="7307751D" w14:textId="77777777" w:rsidR="00A103BB" w:rsidRPr="00A103BB" w:rsidRDefault="00A103BB" w:rsidP="00A103BB">
            <w:pPr>
              <w:widowControl w:val="0"/>
              <w:jc w:val="center"/>
              <w:rPr>
                <w:sz w:val="24"/>
                <w:szCs w:val="24"/>
              </w:rPr>
            </w:pPr>
            <w:r w:rsidRPr="00A103BB">
              <w:rPr>
                <w:sz w:val="24"/>
                <w:szCs w:val="24"/>
              </w:rPr>
              <w:t>1</w:t>
            </w:r>
          </w:p>
        </w:tc>
        <w:tc>
          <w:tcPr>
            <w:tcW w:w="2008" w:type="dxa"/>
          </w:tcPr>
          <w:p w14:paraId="0024DF96" w14:textId="77777777" w:rsidR="00A103BB" w:rsidRPr="00A103BB" w:rsidRDefault="00A103BB" w:rsidP="00A103BB">
            <w:pPr>
              <w:widowControl w:val="0"/>
              <w:jc w:val="center"/>
              <w:rPr>
                <w:color w:val="FF0000"/>
                <w:sz w:val="24"/>
                <w:szCs w:val="24"/>
              </w:rPr>
            </w:pPr>
            <w:r w:rsidRPr="00A103BB">
              <w:rPr>
                <w:bCs/>
                <w:sz w:val="24"/>
                <w:szCs w:val="24"/>
              </w:rPr>
              <w:t>1 074 174,00</w:t>
            </w:r>
          </w:p>
        </w:tc>
        <w:tc>
          <w:tcPr>
            <w:tcW w:w="1701" w:type="dxa"/>
          </w:tcPr>
          <w:p w14:paraId="21A22F52" w14:textId="77777777" w:rsidR="00A103BB" w:rsidRPr="00A103BB" w:rsidRDefault="00A103BB" w:rsidP="00A103BB">
            <w:pPr>
              <w:widowControl w:val="0"/>
              <w:jc w:val="center"/>
              <w:rPr>
                <w:color w:val="FF0000"/>
                <w:sz w:val="24"/>
                <w:szCs w:val="24"/>
              </w:rPr>
            </w:pPr>
            <w:r w:rsidRPr="00A103BB">
              <w:rPr>
                <w:bCs/>
                <w:sz w:val="24"/>
                <w:szCs w:val="24"/>
              </w:rPr>
              <w:t>1 074 174,00</w:t>
            </w:r>
          </w:p>
        </w:tc>
      </w:tr>
      <w:tr w:rsidR="00A103BB" w:rsidRPr="00A103BB" w14:paraId="6D3B0A51" w14:textId="77777777" w:rsidTr="00A774C8">
        <w:tc>
          <w:tcPr>
            <w:tcW w:w="540" w:type="dxa"/>
          </w:tcPr>
          <w:p w14:paraId="634F0C62" w14:textId="77777777" w:rsidR="00A103BB" w:rsidRPr="00A103BB" w:rsidRDefault="00A103BB" w:rsidP="00124B64">
            <w:pPr>
              <w:widowControl w:val="0"/>
              <w:jc w:val="center"/>
              <w:rPr>
                <w:sz w:val="24"/>
                <w:szCs w:val="24"/>
              </w:rPr>
            </w:pPr>
            <w:r w:rsidRPr="00A103BB">
              <w:rPr>
                <w:sz w:val="24"/>
                <w:szCs w:val="24"/>
              </w:rPr>
              <w:t>2.</w:t>
            </w:r>
          </w:p>
        </w:tc>
        <w:tc>
          <w:tcPr>
            <w:tcW w:w="2403" w:type="dxa"/>
          </w:tcPr>
          <w:p w14:paraId="5F277B9A" w14:textId="77777777" w:rsidR="00A103BB" w:rsidRPr="00A103BB" w:rsidRDefault="00A103BB" w:rsidP="00A103BB">
            <w:pPr>
              <w:widowControl w:val="0"/>
              <w:jc w:val="center"/>
              <w:rPr>
                <w:b/>
                <w:sz w:val="24"/>
                <w:szCs w:val="24"/>
              </w:rPr>
            </w:pPr>
            <w:r w:rsidRPr="00A103BB">
              <w:rPr>
                <w:rStyle w:val="affff7"/>
                <w:b w:val="0"/>
                <w:color w:val="000000"/>
                <w:sz w:val="24"/>
                <w:szCs w:val="24"/>
              </w:rPr>
              <w:t>Протез бедра для купания</w:t>
            </w:r>
          </w:p>
        </w:tc>
        <w:tc>
          <w:tcPr>
            <w:tcW w:w="6521" w:type="dxa"/>
            <w:vAlign w:val="center"/>
          </w:tcPr>
          <w:p w14:paraId="08BDAD7F" w14:textId="77777777" w:rsidR="00A103BB" w:rsidRPr="00A103BB" w:rsidRDefault="00A103BB" w:rsidP="00A103BB">
            <w:pPr>
              <w:widowControl w:val="0"/>
              <w:ind w:firstLine="317"/>
              <w:jc w:val="both"/>
              <w:rPr>
                <w:color w:val="000000"/>
                <w:sz w:val="24"/>
                <w:szCs w:val="24"/>
              </w:rPr>
            </w:pPr>
            <w:r w:rsidRPr="00A103BB">
              <w:rPr>
                <w:color w:val="000000"/>
                <w:sz w:val="24"/>
                <w:szCs w:val="24"/>
              </w:rPr>
              <w:t xml:space="preserve">Приемная гильза должна быть индивидуального изготовления по слепку с культи пациента, </w:t>
            </w:r>
            <w:proofErr w:type="spellStart"/>
            <w:r w:rsidRPr="00A103BB">
              <w:rPr>
                <w:color w:val="000000"/>
                <w:sz w:val="24"/>
                <w:szCs w:val="24"/>
              </w:rPr>
              <w:t>скелетированная</w:t>
            </w:r>
            <w:proofErr w:type="spellEnd"/>
            <w:r w:rsidRPr="00A103BB">
              <w:rPr>
                <w:color w:val="000000"/>
                <w:sz w:val="24"/>
                <w:szCs w:val="24"/>
              </w:rPr>
              <w:t xml:space="preserve">. Материал постоянной гильзы должен быть из углепластика на основе акриловых смол. Вкладная гильза должна быть из эластичного пластика. Пробные гильзы должны быть из термопласта. Крепление на пациенте должно быть мышечно-вакуумное, с дополнительным креплением бандажом. Регулировочно-соединительные устройства должны соответствовать весовым и нагрузочным параметрам пациента и должны являться влагозащищенными изделиями. Применение влагозащищенного поворотного устройства должно обеспечивать поворот коленного модуля и стопы относительно приемной гильзы на 360 градусов (с целью увеличения самообслуживания пациентов в быту). Должен быть одноосный гидравлический влагозащищенный коленный модуль с функцией ручного замка, с независимой регулировкой фаз сгибания-разгибания, с функцией </w:t>
            </w:r>
            <w:proofErr w:type="spellStart"/>
            <w:r w:rsidRPr="00A103BB">
              <w:rPr>
                <w:color w:val="000000"/>
                <w:sz w:val="24"/>
                <w:szCs w:val="24"/>
              </w:rPr>
              <w:t>подтормаживания</w:t>
            </w:r>
            <w:proofErr w:type="spellEnd"/>
            <w:r w:rsidRPr="00A103BB">
              <w:rPr>
                <w:color w:val="000000"/>
                <w:sz w:val="24"/>
                <w:szCs w:val="24"/>
              </w:rPr>
              <w:t xml:space="preserve"> под нагрузкой, с возможностью спуска переменным шагом по ступенькам. Должна быть влагозащищенная стопа из углепластика, с расщепленной носочной частью, отведенным первым пальцем, взаимозаменяемыми пяточными клиньями, с дренажными отверстиями в косметической оболочке, с водоотводящими канавками в пирамидке стопы, препятствующими скапливанию воды в полости несущего модуля. Протез должен быть без косметической облицовки.</w:t>
            </w:r>
          </w:p>
          <w:p w14:paraId="6FB59FD9" w14:textId="77777777" w:rsidR="00A103BB" w:rsidRPr="00A103BB" w:rsidRDefault="00A103BB" w:rsidP="00A103BB">
            <w:pPr>
              <w:widowControl w:val="0"/>
              <w:shd w:val="clear" w:color="auto" w:fill="FFFFFF"/>
              <w:ind w:firstLine="317"/>
              <w:jc w:val="both"/>
              <w:textAlignment w:val="baseline"/>
              <w:rPr>
                <w:color w:val="000000"/>
                <w:sz w:val="24"/>
                <w:szCs w:val="24"/>
              </w:rPr>
            </w:pPr>
          </w:p>
        </w:tc>
        <w:tc>
          <w:tcPr>
            <w:tcW w:w="993" w:type="dxa"/>
          </w:tcPr>
          <w:p w14:paraId="25C2494F" w14:textId="77777777" w:rsidR="00A103BB" w:rsidRPr="00A103BB" w:rsidRDefault="00A103BB" w:rsidP="00A103BB">
            <w:pPr>
              <w:widowControl w:val="0"/>
              <w:jc w:val="center"/>
              <w:rPr>
                <w:sz w:val="24"/>
                <w:szCs w:val="24"/>
              </w:rPr>
            </w:pPr>
            <w:r w:rsidRPr="00A103BB">
              <w:rPr>
                <w:sz w:val="24"/>
                <w:szCs w:val="24"/>
              </w:rPr>
              <w:t xml:space="preserve">Штука </w:t>
            </w:r>
          </w:p>
        </w:tc>
        <w:tc>
          <w:tcPr>
            <w:tcW w:w="826" w:type="dxa"/>
          </w:tcPr>
          <w:p w14:paraId="298330BF" w14:textId="77777777" w:rsidR="00A103BB" w:rsidRPr="00A103BB" w:rsidRDefault="00A103BB" w:rsidP="00A103BB">
            <w:pPr>
              <w:widowControl w:val="0"/>
              <w:jc w:val="center"/>
              <w:rPr>
                <w:sz w:val="24"/>
                <w:szCs w:val="24"/>
              </w:rPr>
            </w:pPr>
            <w:r w:rsidRPr="00A103BB">
              <w:rPr>
                <w:sz w:val="24"/>
                <w:szCs w:val="24"/>
              </w:rPr>
              <w:t>1</w:t>
            </w:r>
          </w:p>
        </w:tc>
        <w:tc>
          <w:tcPr>
            <w:tcW w:w="2008" w:type="dxa"/>
          </w:tcPr>
          <w:p w14:paraId="28F1C915" w14:textId="77777777" w:rsidR="00A103BB" w:rsidRPr="00A103BB" w:rsidRDefault="00A103BB" w:rsidP="00A103BB">
            <w:pPr>
              <w:widowControl w:val="0"/>
              <w:jc w:val="center"/>
              <w:rPr>
                <w:bCs/>
                <w:sz w:val="24"/>
                <w:szCs w:val="24"/>
              </w:rPr>
            </w:pPr>
            <w:r w:rsidRPr="00A103BB">
              <w:rPr>
                <w:bCs/>
                <w:sz w:val="24"/>
                <w:szCs w:val="24"/>
              </w:rPr>
              <w:t>833 165,00</w:t>
            </w:r>
          </w:p>
        </w:tc>
        <w:tc>
          <w:tcPr>
            <w:tcW w:w="1701" w:type="dxa"/>
          </w:tcPr>
          <w:p w14:paraId="5EBBFF39" w14:textId="77777777" w:rsidR="00A103BB" w:rsidRPr="00A103BB" w:rsidRDefault="00A103BB" w:rsidP="00A103BB">
            <w:pPr>
              <w:widowControl w:val="0"/>
              <w:jc w:val="center"/>
              <w:rPr>
                <w:bCs/>
                <w:sz w:val="24"/>
                <w:szCs w:val="24"/>
              </w:rPr>
            </w:pPr>
            <w:r w:rsidRPr="00A103BB">
              <w:rPr>
                <w:bCs/>
                <w:sz w:val="24"/>
                <w:szCs w:val="24"/>
              </w:rPr>
              <w:t>833 165,00</w:t>
            </w:r>
          </w:p>
        </w:tc>
      </w:tr>
      <w:tr w:rsidR="00B16B16" w:rsidRPr="00A103BB" w14:paraId="7DCE7D18" w14:textId="77777777" w:rsidTr="00A774C8">
        <w:trPr>
          <w:trHeight w:val="70"/>
        </w:trPr>
        <w:tc>
          <w:tcPr>
            <w:tcW w:w="10457" w:type="dxa"/>
            <w:gridSpan w:val="4"/>
          </w:tcPr>
          <w:p w14:paraId="0D07B2C0" w14:textId="6A352FDF" w:rsidR="00B16B16" w:rsidRPr="00621334" w:rsidRDefault="00B16B16" w:rsidP="00621334">
            <w:pPr>
              <w:widowControl w:val="0"/>
              <w:rPr>
                <w:b/>
                <w:sz w:val="24"/>
                <w:szCs w:val="24"/>
              </w:rPr>
            </w:pPr>
            <w:r w:rsidRPr="00621334">
              <w:rPr>
                <w:b/>
                <w:sz w:val="24"/>
                <w:szCs w:val="24"/>
              </w:rPr>
              <w:t>ИТОГО</w:t>
            </w:r>
            <w:r w:rsidR="00621334" w:rsidRPr="00621334">
              <w:rPr>
                <w:b/>
                <w:sz w:val="24"/>
                <w:szCs w:val="24"/>
              </w:rPr>
              <w:t>:</w:t>
            </w:r>
          </w:p>
        </w:tc>
        <w:tc>
          <w:tcPr>
            <w:tcW w:w="826" w:type="dxa"/>
          </w:tcPr>
          <w:p w14:paraId="7B6123D2" w14:textId="77777777" w:rsidR="00B16B16" w:rsidRPr="00621334" w:rsidRDefault="00B16B16" w:rsidP="00A103BB">
            <w:pPr>
              <w:widowControl w:val="0"/>
              <w:jc w:val="center"/>
              <w:rPr>
                <w:b/>
                <w:sz w:val="24"/>
                <w:szCs w:val="24"/>
              </w:rPr>
            </w:pPr>
            <w:r w:rsidRPr="00621334">
              <w:rPr>
                <w:b/>
                <w:sz w:val="24"/>
                <w:szCs w:val="24"/>
              </w:rPr>
              <w:t>2</w:t>
            </w:r>
          </w:p>
        </w:tc>
        <w:tc>
          <w:tcPr>
            <w:tcW w:w="2008" w:type="dxa"/>
          </w:tcPr>
          <w:p w14:paraId="58A838B5" w14:textId="77777777" w:rsidR="00B16B16" w:rsidRPr="00621334" w:rsidRDefault="00B16B16" w:rsidP="00A103BB">
            <w:pPr>
              <w:widowControl w:val="0"/>
              <w:jc w:val="center"/>
              <w:rPr>
                <w:b/>
                <w:bCs/>
                <w:sz w:val="24"/>
                <w:szCs w:val="24"/>
              </w:rPr>
            </w:pPr>
          </w:p>
        </w:tc>
        <w:tc>
          <w:tcPr>
            <w:tcW w:w="1701" w:type="dxa"/>
          </w:tcPr>
          <w:p w14:paraId="489456B0" w14:textId="77777777" w:rsidR="00B16B16" w:rsidRPr="00621334" w:rsidRDefault="00B16B16" w:rsidP="00A103BB">
            <w:pPr>
              <w:widowControl w:val="0"/>
              <w:jc w:val="center"/>
              <w:rPr>
                <w:b/>
                <w:sz w:val="24"/>
                <w:szCs w:val="24"/>
              </w:rPr>
            </w:pPr>
            <w:r w:rsidRPr="00621334">
              <w:rPr>
                <w:b/>
                <w:bCs/>
                <w:sz w:val="24"/>
                <w:szCs w:val="24"/>
                <w:lang w:eastAsia="ru-RU"/>
              </w:rPr>
              <w:t>1</w:t>
            </w:r>
            <w:r w:rsidRPr="00621334">
              <w:rPr>
                <w:b/>
                <w:bCs/>
                <w:sz w:val="24"/>
                <w:szCs w:val="24"/>
              </w:rPr>
              <w:t> 907 339,00</w:t>
            </w:r>
          </w:p>
        </w:tc>
      </w:tr>
    </w:tbl>
    <w:p w14:paraId="0AC699C3" w14:textId="77777777" w:rsidR="00B16B16" w:rsidRPr="00C03856" w:rsidRDefault="00B16B16" w:rsidP="00A103BB">
      <w:pPr>
        <w:widowControl w:val="0"/>
        <w:ind w:firstLine="567"/>
        <w:jc w:val="center"/>
        <w:rPr>
          <w:b/>
        </w:rPr>
      </w:pPr>
      <w:r w:rsidRPr="00C03856">
        <w:rPr>
          <w:b/>
        </w:rPr>
        <w:t>Требования к качеству работ</w:t>
      </w:r>
    </w:p>
    <w:p w14:paraId="6DD19702" w14:textId="77777777" w:rsidR="00B16B16" w:rsidRPr="00B345C7" w:rsidRDefault="00B16B16" w:rsidP="00A103BB">
      <w:pPr>
        <w:widowControl w:val="0"/>
        <w:ind w:firstLine="567"/>
        <w:jc w:val="both"/>
      </w:pPr>
      <w:r w:rsidRPr="00B345C7">
        <w:t xml:space="preserve">Выполняемые работы по обеспечению </w:t>
      </w:r>
      <w:r>
        <w:t>пострадавших протезами</w:t>
      </w:r>
      <w:r w:rsidRPr="00B345C7">
        <w:t xml:space="preserve"> должны содержать комплекс медицинских, технических и социальных мероприятий, проводимых с пациентами, имеющими нарушения и (или) дефекты,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w:t>
      </w:r>
    </w:p>
    <w:p w14:paraId="1C9B2AA1" w14:textId="77777777" w:rsidR="00B16B16" w:rsidRPr="00265335" w:rsidRDefault="00B16B16" w:rsidP="00A103BB">
      <w:pPr>
        <w:widowControl w:val="0"/>
        <w:ind w:firstLine="567"/>
        <w:jc w:val="both"/>
        <w:rPr>
          <w:rFonts w:eastAsia="Calibri"/>
        </w:rPr>
      </w:pPr>
      <w:r w:rsidRPr="00B345C7">
        <w:rPr>
          <w:rFonts w:eastAsia="Calibri"/>
        </w:rPr>
        <w:t xml:space="preserve">Работы по проведению комплекса медицинских, технических и организационных мероприятий, должны быть направлены на частичное </w:t>
      </w:r>
      <w:r w:rsidRPr="00B345C7">
        <w:rPr>
          <w:rFonts w:eastAsia="Calibri"/>
        </w:rPr>
        <w:lastRenderedPageBreak/>
        <w:t xml:space="preserve">восстановление опорно-двигательных функций и (или) устранение косметических дефектов нижних конечностей пациента с помощью протеза </w:t>
      </w:r>
      <w:r>
        <w:t xml:space="preserve">бедра </w:t>
      </w:r>
      <w:r w:rsidRPr="00265335">
        <w:t xml:space="preserve">модульного, в том числе при врожденном недоразвитии и </w:t>
      </w:r>
      <w:r w:rsidRPr="000335EA">
        <w:rPr>
          <w:rStyle w:val="affff7"/>
          <w:b w:val="0"/>
        </w:rPr>
        <w:t>протеза бедра для купания.</w:t>
      </w:r>
    </w:p>
    <w:p w14:paraId="07BF3058" w14:textId="77777777" w:rsidR="00B16B16" w:rsidRPr="00265335" w:rsidRDefault="00B16B16" w:rsidP="00A103BB">
      <w:pPr>
        <w:widowControl w:val="0"/>
        <w:ind w:firstLine="567"/>
        <w:jc w:val="both"/>
      </w:pPr>
      <w:r w:rsidRPr="00265335">
        <w:t>Изделие должно быть изготовлено с учетом анатомических дефектов, индивидуально для Получателя, при этом необходимо максимально учитывать физическое состояние, индивидуальные особенности Получателя, его психологический статус, частную жизнь, индивидуальный уровень двигательной активности и иные значимые для целей реабилитации медико-социальные аспекты.</w:t>
      </w:r>
    </w:p>
    <w:p w14:paraId="4CAE48E1" w14:textId="77777777" w:rsidR="00B16B16" w:rsidRDefault="00B16B16" w:rsidP="00A103BB">
      <w:pPr>
        <w:widowControl w:val="0"/>
        <w:ind w:firstLine="567"/>
        <w:jc w:val="both"/>
      </w:pPr>
      <w:r w:rsidRPr="00B345C7">
        <w:t>Протез</w:t>
      </w:r>
      <w:r>
        <w:t>ы нижних конечностей</w:t>
      </w:r>
      <w:r w:rsidRPr="00B345C7">
        <w:t xml:space="preserve"> </w:t>
      </w:r>
      <w:r>
        <w:t>должны</w:t>
      </w:r>
      <w:r w:rsidRPr="00B345C7">
        <w:t xml:space="preserve"> соответствов</w:t>
      </w:r>
      <w:r>
        <w:t>ать требованиям Национального стандарта РФ ГОСТ Р 51632-2021</w:t>
      </w:r>
      <w:r w:rsidRPr="00B345C7">
        <w:t xml:space="preserve"> «Технические средства реабилитации людей с ограничениями жизнедеятельности. Общие технические требования и методы </w:t>
      </w:r>
      <w:r>
        <w:t>испытаний», а также соответствовать Республиканскому стандарту РСТ РСФСР 644-80 «Изделия протезно-ортопедические. Общие технические требования».</w:t>
      </w:r>
    </w:p>
    <w:p w14:paraId="552EC052" w14:textId="77777777" w:rsidR="00B16B16" w:rsidRDefault="00B16B16" w:rsidP="00A103BB">
      <w:pPr>
        <w:widowControl w:val="0"/>
        <w:ind w:firstLine="567"/>
        <w:jc w:val="both"/>
      </w:pPr>
      <w:r>
        <w:t>Обеспечение возможности ремонта, устранения недостатков при обеспечении Получателей товарами осуществляется в соответствии с Федеральным законом от 07.02.1992 №2300-1 «О защите прав потребителей».</w:t>
      </w:r>
    </w:p>
    <w:p w14:paraId="7D94E8CB" w14:textId="77777777" w:rsidR="00B16B16" w:rsidRDefault="00B16B16" w:rsidP="00A103BB">
      <w:pPr>
        <w:widowControl w:val="0"/>
        <w:ind w:firstLine="567"/>
        <w:jc w:val="both"/>
      </w:pPr>
      <w:r>
        <w:t>Протезы нижних конечностей должны соответствовать:</w:t>
      </w:r>
    </w:p>
    <w:p w14:paraId="54B3C03C" w14:textId="77777777" w:rsidR="00B16B16" w:rsidRDefault="00B16B16" w:rsidP="00A103BB">
      <w:pPr>
        <w:widowControl w:val="0"/>
        <w:ind w:firstLine="567"/>
        <w:jc w:val="both"/>
      </w:pPr>
      <w:r>
        <w:t>-ГОСТ Р 51632-2021 «Технические средства реабилитации людей с ограничениями жизнедеятельности. Общие технические требования и методы испытаний» (п.4.1.1, п.4.4.1);</w:t>
      </w:r>
    </w:p>
    <w:p w14:paraId="0EE2ADD1" w14:textId="77777777" w:rsidR="00B16B16" w:rsidRDefault="00B16B16" w:rsidP="00A103BB">
      <w:pPr>
        <w:widowControl w:val="0"/>
        <w:ind w:firstLine="567"/>
        <w:jc w:val="both"/>
      </w:pPr>
      <w:r>
        <w:t>-ГОСТ Р 51191-2019 «Узлы протезов нижних конечностей. Технические требования и методы испытаний»;</w:t>
      </w:r>
    </w:p>
    <w:p w14:paraId="2932F39C" w14:textId="77777777" w:rsidR="00B16B16" w:rsidRDefault="00B16B16" w:rsidP="00A103BB">
      <w:pPr>
        <w:widowControl w:val="0"/>
        <w:ind w:firstLine="567"/>
        <w:jc w:val="both"/>
      </w:pPr>
      <w:r>
        <w:t xml:space="preserve">-ГОСТ Р ИСО 29782-2014 «Протезы и </w:t>
      </w:r>
      <w:proofErr w:type="spellStart"/>
      <w:r>
        <w:t>ортезы</w:t>
      </w:r>
      <w:proofErr w:type="spellEnd"/>
      <w:r>
        <w:t>. Факторы, подлежащие включению в описание, физической активности лиц с ампутацией(</w:t>
      </w:r>
      <w:proofErr w:type="spellStart"/>
      <w:r>
        <w:t>ями</w:t>
      </w:r>
      <w:proofErr w:type="spellEnd"/>
      <w:r>
        <w:t>) нижней конечности или врожденными дефектами сегментами(</w:t>
      </w:r>
      <w:proofErr w:type="spellStart"/>
      <w:r>
        <w:t>ов</w:t>
      </w:r>
      <w:proofErr w:type="spellEnd"/>
      <w:r>
        <w:t>) нижней конечности». Протезы должны соответствовать требованиям Федерального закона от 21.11.2011 № 323-ФЗ «Об основах охраны здоровья граждан в РФ».</w:t>
      </w:r>
    </w:p>
    <w:p w14:paraId="22B8627E" w14:textId="77777777" w:rsidR="00B16B16" w:rsidRPr="00A922BA" w:rsidRDefault="00B16B16" w:rsidP="00A103BB">
      <w:pPr>
        <w:widowControl w:val="0"/>
        <w:ind w:firstLine="567"/>
        <w:jc w:val="both"/>
        <w:rPr>
          <w:sz w:val="20"/>
          <w:highlight w:val="yellow"/>
        </w:rPr>
      </w:pPr>
    </w:p>
    <w:p w14:paraId="2A2DB4FF" w14:textId="77777777" w:rsidR="00B16B16" w:rsidRPr="00265335" w:rsidRDefault="00B16B16" w:rsidP="00A103BB">
      <w:pPr>
        <w:widowControl w:val="0"/>
        <w:ind w:firstLine="567"/>
        <w:jc w:val="center"/>
        <w:rPr>
          <w:b/>
        </w:rPr>
      </w:pPr>
      <w:r w:rsidRPr="00265335">
        <w:rPr>
          <w:b/>
        </w:rPr>
        <w:t>Требования к безопасности работ</w:t>
      </w:r>
    </w:p>
    <w:p w14:paraId="36D574E2" w14:textId="77777777" w:rsidR="00B16B16" w:rsidRDefault="00B16B16" w:rsidP="00A103BB">
      <w:pPr>
        <w:widowControl w:val="0"/>
        <w:ind w:firstLine="567"/>
        <w:jc w:val="both"/>
      </w:pPr>
      <w:r w:rsidRPr="00B345C7">
        <w:t xml:space="preserve">Проведение работ по обеспечению </w:t>
      </w:r>
      <w:r>
        <w:t>пострадавших протезами</w:t>
      </w:r>
      <w:r w:rsidRPr="00B345C7">
        <w:t xml:space="preserve"> должны осуществляться в соответствии с требованиями, установленными законодательством Российской Федерации на основании сертификатов (деклараций) соответствия и протоколов испытаний.</w:t>
      </w:r>
    </w:p>
    <w:p w14:paraId="35F1DC04" w14:textId="77777777" w:rsidR="00B16B16" w:rsidRPr="00A922BA" w:rsidRDefault="00B16B16" w:rsidP="00A103BB">
      <w:pPr>
        <w:widowControl w:val="0"/>
        <w:ind w:firstLine="567"/>
        <w:jc w:val="both"/>
        <w:rPr>
          <w:sz w:val="20"/>
          <w:highlight w:val="yellow"/>
        </w:rPr>
      </w:pPr>
    </w:p>
    <w:p w14:paraId="1A925E19" w14:textId="77777777" w:rsidR="00B16B16" w:rsidRPr="00265335" w:rsidRDefault="00B16B16" w:rsidP="00A103BB">
      <w:pPr>
        <w:widowControl w:val="0"/>
        <w:ind w:firstLine="567"/>
        <w:jc w:val="center"/>
        <w:rPr>
          <w:b/>
        </w:rPr>
      </w:pPr>
      <w:r w:rsidRPr="00265335">
        <w:rPr>
          <w:b/>
        </w:rPr>
        <w:t>Требования к результатам работ</w:t>
      </w:r>
    </w:p>
    <w:p w14:paraId="6EAA1F82" w14:textId="77777777" w:rsidR="00B16B16" w:rsidRDefault="00B16B16" w:rsidP="00A103BB">
      <w:pPr>
        <w:widowControl w:val="0"/>
        <w:ind w:firstLine="567"/>
        <w:jc w:val="both"/>
        <w:rPr>
          <w:rFonts w:eastAsia="Calibri"/>
        </w:rPr>
      </w:pPr>
      <w:r>
        <w:rPr>
          <w:rFonts w:eastAsia="Calibri"/>
        </w:rPr>
        <w:t>Работы по обеспечению протезами должны быть эффективно исполнены, если у пострадавшего должны быть восстановлены опорная и двигательная функция конечности, созданы условия для предупреждения развития деформации и благоприятного течения болезни.</w:t>
      </w:r>
    </w:p>
    <w:p w14:paraId="0F87ACE6" w14:textId="77777777" w:rsidR="00B16B16" w:rsidRPr="00466562" w:rsidRDefault="00B16B16" w:rsidP="00A103BB">
      <w:pPr>
        <w:widowControl w:val="0"/>
        <w:ind w:firstLine="567"/>
        <w:jc w:val="both"/>
        <w:rPr>
          <w:rFonts w:eastAsia="Calibri"/>
        </w:rPr>
      </w:pPr>
      <w:r>
        <w:rPr>
          <w:rFonts w:eastAsia="Calibri"/>
        </w:rPr>
        <w:t>В соответствии с приказом Минтруда</w:t>
      </w:r>
      <w:r w:rsidRPr="00466562">
        <w:rPr>
          <w:rFonts w:eastAsia="Calibri"/>
        </w:rPr>
        <w:t xml:space="preserve"> </w:t>
      </w:r>
      <w:r>
        <w:rPr>
          <w:rFonts w:eastAsia="Calibri"/>
        </w:rPr>
        <w:t>России от 05.03.2021 №107н «Об утверждении сроков пользования техническими средствами реабилитации, протезами и протезно-ортопедическими изделиями» срок пользования техническими средствами реабилитации, протезом и протезно-ортопедическим изделием исчисляется с даты предоставления его инвалиду.</w:t>
      </w:r>
    </w:p>
    <w:p w14:paraId="6300B1F8" w14:textId="16EE02D2" w:rsidR="00B16B16" w:rsidRDefault="00B16B16" w:rsidP="00A103BB">
      <w:pPr>
        <w:widowControl w:val="0"/>
        <w:ind w:firstLine="567"/>
        <w:jc w:val="both"/>
      </w:pPr>
      <w:r w:rsidRPr="00466562">
        <w:rPr>
          <w:b/>
        </w:rPr>
        <w:t>Срок предоставления гарантии</w:t>
      </w:r>
      <w:r w:rsidRPr="0016662F">
        <w:t xml:space="preserve"> должен составлять не менее </w:t>
      </w:r>
      <w:r>
        <w:t>12</w:t>
      </w:r>
      <w:r w:rsidRPr="0016662F">
        <w:t xml:space="preserve"> месяцев с момента выдачи изделия Получателю. В течение гарантийного срока Исполнитель производит замену или ремонт изделия бесплатно. Срок выполнения гарантийного ремонта со дня обращения Получателя не превышает 20 рабочих дней.</w:t>
      </w:r>
    </w:p>
    <w:p w14:paraId="2CB85CB3" w14:textId="225DEB21" w:rsidR="00B16B16" w:rsidRDefault="00B16B16" w:rsidP="00A103BB">
      <w:pPr>
        <w:widowControl w:val="0"/>
        <w:ind w:firstLine="567"/>
        <w:jc w:val="both"/>
      </w:pPr>
      <w:r w:rsidRPr="00B345C7">
        <w:rPr>
          <w:b/>
        </w:rPr>
        <w:t>Условия и сроки (периоды) выполнения работ</w:t>
      </w:r>
      <w:r w:rsidRPr="00B345C7">
        <w:t xml:space="preserve">: </w:t>
      </w:r>
      <w:r w:rsidR="00007501" w:rsidRPr="00007501">
        <w:t xml:space="preserve">срок изготовления протезно-ортопедического изделия не должен превышать 44 (сорока четырех) рабочих дня со дня обращения Получателя с направлением Заказчика. Срок завершения работ должен </w:t>
      </w:r>
      <w:r w:rsidR="00007501">
        <w:t>быть не позднее 01.10.2023 года</w:t>
      </w:r>
      <w:bookmarkStart w:id="0" w:name="_GoBack"/>
      <w:bookmarkEnd w:id="0"/>
      <w:r>
        <w:t>.</w:t>
      </w:r>
    </w:p>
    <w:p w14:paraId="78F7D745" w14:textId="23CBB81B" w:rsidR="006E21ED" w:rsidRPr="00B16B16" w:rsidRDefault="00B16B16" w:rsidP="00A103BB">
      <w:pPr>
        <w:widowControl w:val="0"/>
        <w:ind w:firstLine="567"/>
        <w:jc w:val="both"/>
      </w:pPr>
      <w:r w:rsidRPr="00B345C7">
        <w:rPr>
          <w:b/>
        </w:rPr>
        <w:t>Место выполнения работ</w:t>
      </w:r>
      <w:r w:rsidRPr="00B345C7">
        <w:t xml:space="preserve">: </w:t>
      </w:r>
      <w:r>
        <w:t>Краснодарский край, г. Краснодар, работы должны выполняться по месту протезирования, протезно-ортопедические изделия должны выдаваться непосредственно Получателю.</w:t>
      </w:r>
    </w:p>
    <w:sectPr w:rsidR="006E21ED" w:rsidRPr="00B16B16" w:rsidSect="006D0631">
      <w:pgSz w:w="16838" w:h="11906" w:orient="landscape"/>
      <w:pgMar w:top="1135" w:right="820"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75A1F5C8" w14:textId="77777777" w:rsidR="00A103BB" w:rsidRDefault="00A103BB" w:rsidP="00B16B16">
      <w:pPr>
        <w:pStyle w:val="affff4"/>
      </w:pPr>
      <w:r>
        <w:rPr>
          <w:rStyle w:val="affff6"/>
        </w:rPr>
        <w:footnoteRef/>
      </w:r>
      <w:r>
        <w:t xml:space="preserve"> Не более</w:t>
      </w:r>
    </w:p>
  </w:footnote>
  <w:footnote w:id="2">
    <w:p w14:paraId="615EE16E" w14:textId="77777777" w:rsidR="00A103BB" w:rsidRDefault="00A103BB" w:rsidP="00B16B16">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07501"/>
    <w:rsid w:val="00012BC5"/>
    <w:rsid w:val="00021608"/>
    <w:rsid w:val="00027E1A"/>
    <w:rsid w:val="000300F0"/>
    <w:rsid w:val="000335EA"/>
    <w:rsid w:val="0005153E"/>
    <w:rsid w:val="000571F7"/>
    <w:rsid w:val="00062B7B"/>
    <w:rsid w:val="00084A35"/>
    <w:rsid w:val="0009531E"/>
    <w:rsid w:val="000A43FB"/>
    <w:rsid w:val="000B0A1F"/>
    <w:rsid w:val="000C3455"/>
    <w:rsid w:val="000E7E2B"/>
    <w:rsid w:val="000F20C4"/>
    <w:rsid w:val="000F43FB"/>
    <w:rsid w:val="001040CE"/>
    <w:rsid w:val="0011323D"/>
    <w:rsid w:val="001216D3"/>
    <w:rsid w:val="00124B64"/>
    <w:rsid w:val="0013772F"/>
    <w:rsid w:val="00146DA1"/>
    <w:rsid w:val="001509C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D4B0A"/>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1334"/>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0631"/>
    <w:rsid w:val="006D2AB3"/>
    <w:rsid w:val="006D30FF"/>
    <w:rsid w:val="006E21ED"/>
    <w:rsid w:val="006E6C80"/>
    <w:rsid w:val="006F3AE7"/>
    <w:rsid w:val="0072285C"/>
    <w:rsid w:val="00737E76"/>
    <w:rsid w:val="007507B9"/>
    <w:rsid w:val="007526CD"/>
    <w:rsid w:val="00754B1E"/>
    <w:rsid w:val="00754F59"/>
    <w:rsid w:val="00770048"/>
    <w:rsid w:val="00775B44"/>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26AF6"/>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103BB"/>
    <w:rsid w:val="00A228FF"/>
    <w:rsid w:val="00A25E32"/>
    <w:rsid w:val="00A26D86"/>
    <w:rsid w:val="00A34808"/>
    <w:rsid w:val="00A367F1"/>
    <w:rsid w:val="00A41014"/>
    <w:rsid w:val="00A464C9"/>
    <w:rsid w:val="00A47234"/>
    <w:rsid w:val="00A4752E"/>
    <w:rsid w:val="00A727C9"/>
    <w:rsid w:val="00A72870"/>
    <w:rsid w:val="00A774C8"/>
    <w:rsid w:val="00AB1D6B"/>
    <w:rsid w:val="00AC2CF3"/>
    <w:rsid w:val="00AE4A66"/>
    <w:rsid w:val="00AF1A38"/>
    <w:rsid w:val="00AF570F"/>
    <w:rsid w:val="00B16B16"/>
    <w:rsid w:val="00B264C6"/>
    <w:rsid w:val="00B27775"/>
    <w:rsid w:val="00B27C95"/>
    <w:rsid w:val="00B3008E"/>
    <w:rsid w:val="00B32DE4"/>
    <w:rsid w:val="00B44FF2"/>
    <w:rsid w:val="00B46BFE"/>
    <w:rsid w:val="00B849FF"/>
    <w:rsid w:val="00B91503"/>
    <w:rsid w:val="00BA552A"/>
    <w:rsid w:val="00BC4A22"/>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772AE"/>
    <w:rsid w:val="00D843F9"/>
    <w:rsid w:val="00D87F95"/>
    <w:rsid w:val="00DC02BF"/>
    <w:rsid w:val="00DC615A"/>
    <w:rsid w:val="00DD390A"/>
    <w:rsid w:val="00DF5110"/>
    <w:rsid w:val="00DF5688"/>
    <w:rsid w:val="00E05835"/>
    <w:rsid w:val="00E06F0E"/>
    <w:rsid w:val="00E20082"/>
    <w:rsid w:val="00E43D1E"/>
    <w:rsid w:val="00E462E9"/>
    <w:rsid w:val="00E478CF"/>
    <w:rsid w:val="00E665FE"/>
    <w:rsid w:val="00E812D9"/>
    <w:rsid w:val="00E9144B"/>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2C5C"/>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4D4B0A"/>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ff2"/>
    <w:uiPriority w:val="59"/>
    <w:rsid w:val="00BC4A22"/>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fff2"/>
    <w:uiPriority w:val="59"/>
    <w:rsid w:val="006E21ED"/>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Strong"/>
    <w:basedOn w:val="a0"/>
    <w:uiPriority w:val="22"/>
    <w:qFormat/>
    <w:rsid w:val="00B16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8B98-24A8-45FB-8A25-CCEB9EB7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Лысова Нелли Владимировна</cp:lastModifiedBy>
  <cp:revision>295</cp:revision>
  <dcterms:created xsi:type="dcterms:W3CDTF">2021-12-29T15:28:00Z</dcterms:created>
  <dcterms:modified xsi:type="dcterms:W3CDTF">2023-03-16T07:54:00Z</dcterms:modified>
</cp:coreProperties>
</file>