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E3" w:rsidRPr="00101F8C" w:rsidRDefault="002D3AE3" w:rsidP="00101F8C">
      <w:pPr>
        <w:keepLines/>
        <w:widowControl w:val="0"/>
        <w:jc w:val="center"/>
        <w:rPr>
          <w:b/>
        </w:rPr>
      </w:pPr>
      <w:r w:rsidRPr="00101F8C">
        <w:rPr>
          <w:b/>
        </w:rPr>
        <w:t>Техническое задание (описание объекта закупки и условия исполнения государственного контракта)</w:t>
      </w:r>
    </w:p>
    <w:p w:rsidR="002D3AE3" w:rsidRDefault="002D3AE3" w:rsidP="00101F8C">
      <w:pPr>
        <w:keepLines/>
        <w:widowControl w:val="0"/>
        <w:jc w:val="center"/>
        <w:rPr>
          <w:b/>
        </w:rPr>
      </w:pPr>
    </w:p>
    <w:p w:rsidR="003D4910" w:rsidRDefault="00420F97" w:rsidP="003D4910">
      <w:pPr>
        <w:keepLines/>
        <w:widowControl w:val="0"/>
        <w:jc w:val="center"/>
        <w:rPr>
          <w:b/>
          <w:bCs/>
        </w:rPr>
      </w:pPr>
      <w:r w:rsidRPr="00420F97">
        <w:rPr>
          <w:b/>
          <w:bCs/>
        </w:rPr>
        <w:t>Выполнение работ по обеспечению инвалидов Краснодарского края протезами нижних конечностей (бедра) в 2022 году</w:t>
      </w:r>
    </w:p>
    <w:p w:rsidR="00420F97" w:rsidRPr="003D4910" w:rsidRDefault="00420F97" w:rsidP="003D4910">
      <w:pPr>
        <w:keepLines/>
        <w:widowControl w:val="0"/>
        <w:jc w:val="center"/>
      </w:pPr>
    </w:p>
    <w:p w:rsidR="003D4910" w:rsidRPr="003D4910" w:rsidRDefault="003D4910" w:rsidP="003D4910">
      <w:pPr>
        <w:keepLines/>
        <w:widowControl w:val="0"/>
        <w:tabs>
          <w:tab w:val="left" w:pos="5865"/>
        </w:tabs>
      </w:pPr>
    </w:p>
    <w:tbl>
      <w:tblPr>
        <w:tblStyle w:val="a8"/>
        <w:tblW w:w="5000" w:type="pct"/>
        <w:tblLook w:val="04A0" w:firstRow="1" w:lastRow="0" w:firstColumn="1" w:lastColumn="0" w:noHBand="0" w:noVBand="1"/>
      </w:tblPr>
      <w:tblGrid>
        <w:gridCol w:w="540"/>
        <w:gridCol w:w="2856"/>
        <w:gridCol w:w="6229"/>
        <w:gridCol w:w="1002"/>
        <w:gridCol w:w="1051"/>
        <w:gridCol w:w="1406"/>
        <w:gridCol w:w="1476"/>
      </w:tblGrid>
      <w:tr w:rsidR="00420F97" w:rsidRPr="00420F97" w:rsidTr="00420F97">
        <w:tc>
          <w:tcPr>
            <w:tcW w:w="185" w:type="pct"/>
          </w:tcPr>
          <w:p w:rsidR="00420F97" w:rsidRPr="00420F97" w:rsidRDefault="00420F97" w:rsidP="00420F97">
            <w:pPr>
              <w:keepLines/>
              <w:widowControl w:val="0"/>
              <w:jc w:val="both"/>
            </w:pPr>
            <w:r w:rsidRPr="00420F97">
              <w:t>№ п/п</w:t>
            </w:r>
          </w:p>
        </w:tc>
        <w:tc>
          <w:tcPr>
            <w:tcW w:w="981" w:type="pct"/>
          </w:tcPr>
          <w:p w:rsidR="00420F97" w:rsidRPr="00420F97" w:rsidRDefault="00420F97" w:rsidP="00420F97">
            <w:pPr>
              <w:keepLines/>
              <w:widowControl w:val="0"/>
              <w:jc w:val="both"/>
            </w:pPr>
            <w:r w:rsidRPr="00420F97">
              <w:t>Наименование товара, работ, услуг</w:t>
            </w:r>
          </w:p>
        </w:tc>
        <w:tc>
          <w:tcPr>
            <w:tcW w:w="2139" w:type="pct"/>
          </w:tcPr>
          <w:p w:rsidR="00420F97" w:rsidRPr="00420F97" w:rsidRDefault="00420F97" w:rsidP="00420F97">
            <w:pPr>
              <w:keepLines/>
              <w:widowControl w:val="0"/>
              <w:jc w:val="both"/>
            </w:pPr>
            <w:r w:rsidRPr="00420F97">
              <w:t>Описание объекта закупки</w:t>
            </w:r>
          </w:p>
        </w:tc>
        <w:tc>
          <w:tcPr>
            <w:tcW w:w="344" w:type="pct"/>
          </w:tcPr>
          <w:p w:rsidR="00420F97" w:rsidRPr="00420F97" w:rsidRDefault="00420F97" w:rsidP="00420F97">
            <w:pPr>
              <w:keepLines/>
              <w:widowControl w:val="0"/>
              <w:jc w:val="both"/>
            </w:pPr>
            <w:r w:rsidRPr="00420F97">
              <w:t>Кол-во (объем)</w:t>
            </w:r>
          </w:p>
        </w:tc>
        <w:tc>
          <w:tcPr>
            <w:tcW w:w="361" w:type="pct"/>
          </w:tcPr>
          <w:p w:rsidR="00420F97" w:rsidRPr="00420F97" w:rsidRDefault="00420F97" w:rsidP="00420F97">
            <w:pPr>
              <w:keepLines/>
              <w:widowControl w:val="0"/>
              <w:jc w:val="both"/>
            </w:pPr>
            <w:r w:rsidRPr="00420F97">
              <w:t>Ед. изм.</w:t>
            </w:r>
          </w:p>
        </w:tc>
        <w:tc>
          <w:tcPr>
            <w:tcW w:w="483" w:type="pct"/>
          </w:tcPr>
          <w:p w:rsidR="00420F97" w:rsidRPr="00420F97" w:rsidRDefault="00420F97" w:rsidP="00420F97">
            <w:pPr>
              <w:keepLines/>
              <w:widowControl w:val="0"/>
              <w:jc w:val="both"/>
            </w:pPr>
            <w:r w:rsidRPr="00420F97">
              <w:t>Цена за ед. изм.</w:t>
            </w:r>
            <w:r w:rsidRPr="00420F97">
              <w:rPr>
                <w:vertAlign w:val="superscript"/>
              </w:rPr>
              <w:footnoteReference w:id="1"/>
            </w:r>
            <w:r w:rsidRPr="00420F97">
              <w:t>, руб.</w:t>
            </w:r>
          </w:p>
        </w:tc>
        <w:tc>
          <w:tcPr>
            <w:tcW w:w="507" w:type="pct"/>
          </w:tcPr>
          <w:p w:rsidR="00420F97" w:rsidRPr="00420F97" w:rsidRDefault="00420F97" w:rsidP="00420F97">
            <w:pPr>
              <w:keepLines/>
              <w:widowControl w:val="0"/>
              <w:jc w:val="both"/>
            </w:pPr>
            <w:r w:rsidRPr="00420F97">
              <w:t>Цена по позиции</w:t>
            </w:r>
            <w:r w:rsidRPr="00420F97">
              <w:rPr>
                <w:vertAlign w:val="superscript"/>
              </w:rPr>
              <w:footnoteReference w:id="2"/>
            </w:r>
            <w:r w:rsidRPr="00420F97">
              <w:t>, руб.</w:t>
            </w:r>
          </w:p>
        </w:tc>
      </w:tr>
      <w:tr w:rsidR="00420F97" w:rsidRPr="00420F97" w:rsidTr="00420F97">
        <w:tc>
          <w:tcPr>
            <w:tcW w:w="185" w:type="pct"/>
          </w:tcPr>
          <w:p w:rsidR="00420F97" w:rsidRPr="00420F97" w:rsidRDefault="00420F97" w:rsidP="00420F97">
            <w:pPr>
              <w:keepLines/>
              <w:widowControl w:val="0"/>
            </w:pPr>
            <w:r w:rsidRPr="00420F97">
              <w:t>1.</w:t>
            </w:r>
          </w:p>
        </w:tc>
        <w:tc>
          <w:tcPr>
            <w:tcW w:w="981" w:type="pct"/>
          </w:tcPr>
          <w:p w:rsidR="00420F97" w:rsidRPr="00420F97" w:rsidRDefault="00420F97" w:rsidP="00420F97">
            <w:pPr>
              <w:keepLines/>
              <w:widowControl w:val="0"/>
              <w:jc w:val="both"/>
            </w:pPr>
            <w:r w:rsidRPr="00420F97">
              <w:t>Протез бедра модульный, в том числе при врожденном недоразвитии</w:t>
            </w:r>
          </w:p>
        </w:tc>
        <w:tc>
          <w:tcPr>
            <w:tcW w:w="2139" w:type="pct"/>
            <w:vAlign w:val="center"/>
          </w:tcPr>
          <w:p w:rsidR="00420F97" w:rsidRPr="00420F97" w:rsidRDefault="00420F97" w:rsidP="00420F97">
            <w:pPr>
              <w:rPr>
                <w:sz w:val="23"/>
                <w:szCs w:val="23"/>
              </w:rPr>
            </w:pPr>
            <w:r w:rsidRPr="00420F97">
              <w:rPr>
                <w:sz w:val="23"/>
                <w:szCs w:val="23"/>
              </w:rPr>
              <w:t>Протез бедра модульный должен быть:</w:t>
            </w:r>
          </w:p>
          <w:p w:rsidR="00420F97" w:rsidRPr="00420F97" w:rsidRDefault="00420F97" w:rsidP="00420F97">
            <w:pPr>
              <w:rPr>
                <w:sz w:val="23"/>
                <w:szCs w:val="23"/>
              </w:rPr>
            </w:pPr>
            <w:proofErr w:type="spellStart"/>
            <w:r w:rsidRPr="00420F97">
              <w:rPr>
                <w:sz w:val="23"/>
                <w:szCs w:val="23"/>
              </w:rPr>
              <w:t>Культеприемная</w:t>
            </w:r>
            <w:proofErr w:type="spellEnd"/>
            <w:r w:rsidRPr="00420F97">
              <w:rPr>
                <w:sz w:val="23"/>
                <w:szCs w:val="23"/>
              </w:rPr>
              <w:t xml:space="preserve"> гильза должна быть индивидуальная, изготовленная по индивидуальному слепку с культи инвалида; постоянная гильза должна быть из литьевого слоистого пластика на основе акриловых смол; вкладная гильза должна быть из эластичных термопластов (для </w:t>
            </w:r>
            <w:proofErr w:type="spellStart"/>
            <w:r w:rsidRPr="00420F97">
              <w:rPr>
                <w:sz w:val="23"/>
                <w:szCs w:val="23"/>
              </w:rPr>
              <w:t>скелетированной</w:t>
            </w:r>
            <w:proofErr w:type="spellEnd"/>
            <w:r w:rsidRPr="00420F97">
              <w:rPr>
                <w:sz w:val="23"/>
                <w:szCs w:val="23"/>
              </w:rPr>
              <w:t xml:space="preserve"> гильзы), одна пробная гильза. </w:t>
            </w:r>
          </w:p>
          <w:p w:rsidR="00420F97" w:rsidRPr="00420F97" w:rsidRDefault="00420F97" w:rsidP="00420F97">
            <w:pPr>
              <w:contextualSpacing/>
              <w:rPr>
                <w:sz w:val="23"/>
                <w:szCs w:val="23"/>
              </w:rPr>
            </w:pPr>
            <w:r w:rsidRPr="00420F97">
              <w:rPr>
                <w:sz w:val="23"/>
                <w:szCs w:val="23"/>
              </w:rPr>
              <w:t>Материал индивидуальной постоянной гильзы должен быть литьевой слоистый пластик на основе акриловых смол.</w:t>
            </w:r>
          </w:p>
          <w:p w:rsidR="00420F97" w:rsidRPr="00420F97" w:rsidRDefault="00420F97" w:rsidP="00420F97">
            <w:pPr>
              <w:contextualSpacing/>
              <w:rPr>
                <w:sz w:val="23"/>
                <w:szCs w:val="23"/>
              </w:rPr>
            </w:pPr>
            <w:r w:rsidRPr="00420F97">
              <w:rPr>
                <w:sz w:val="23"/>
                <w:szCs w:val="23"/>
              </w:rPr>
              <w:t>Формообразующая облицовка должна быть модульная мягкая полиуретановая.</w:t>
            </w:r>
          </w:p>
          <w:p w:rsidR="00420F97" w:rsidRPr="00420F97" w:rsidRDefault="00420F97" w:rsidP="00420F97">
            <w:pPr>
              <w:contextualSpacing/>
              <w:rPr>
                <w:sz w:val="23"/>
                <w:szCs w:val="23"/>
              </w:rPr>
            </w:pPr>
            <w:r w:rsidRPr="00420F97">
              <w:rPr>
                <w:sz w:val="23"/>
                <w:szCs w:val="23"/>
              </w:rPr>
              <w:t>Крепление протеза на инвалиде должно быть с использованием силиконового чехла с дистальным креплением – 2шт.</w:t>
            </w:r>
          </w:p>
          <w:p w:rsidR="00420F97" w:rsidRPr="00420F97" w:rsidRDefault="00420F97" w:rsidP="00420F97">
            <w:pPr>
              <w:contextualSpacing/>
              <w:rPr>
                <w:sz w:val="23"/>
                <w:szCs w:val="23"/>
              </w:rPr>
            </w:pPr>
            <w:r w:rsidRPr="00420F97">
              <w:rPr>
                <w:sz w:val="23"/>
                <w:szCs w:val="23"/>
              </w:rPr>
              <w:t>Коленный модуль должен быть с гидравлической регулировкой фаз сгибания и разгибания, с механизмом торможения под нагрузкой веса пациента.</w:t>
            </w:r>
          </w:p>
          <w:p w:rsidR="00420F97" w:rsidRPr="00420F97" w:rsidRDefault="00420F97" w:rsidP="00420F97">
            <w:pPr>
              <w:contextualSpacing/>
              <w:rPr>
                <w:sz w:val="23"/>
                <w:szCs w:val="23"/>
              </w:rPr>
            </w:pPr>
            <w:r w:rsidRPr="00420F97">
              <w:rPr>
                <w:sz w:val="23"/>
                <w:szCs w:val="23"/>
              </w:rPr>
              <w:t>Стопа должна быть анатомической формы для активных пользователей из карбона, в подошве стопы имеются каналы для стока воды на соединительном адаптере и дренажные отверстия для предотвращения скопления воды в протезе.</w:t>
            </w:r>
          </w:p>
          <w:p w:rsidR="00420F97" w:rsidRPr="00420F97" w:rsidRDefault="00420F97" w:rsidP="00420F97">
            <w:pPr>
              <w:contextualSpacing/>
              <w:rPr>
                <w:sz w:val="23"/>
                <w:szCs w:val="23"/>
              </w:rPr>
            </w:pPr>
            <w:r w:rsidRPr="00420F97">
              <w:rPr>
                <w:sz w:val="23"/>
                <w:szCs w:val="23"/>
              </w:rPr>
              <w:t>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w:t>
            </w:r>
          </w:p>
          <w:p w:rsidR="00420F97" w:rsidRPr="00420F97" w:rsidRDefault="00420F97" w:rsidP="00420F97">
            <w:pPr>
              <w:contextualSpacing/>
              <w:rPr>
                <w:sz w:val="23"/>
                <w:szCs w:val="23"/>
              </w:rPr>
            </w:pPr>
            <w:r w:rsidRPr="00420F97">
              <w:rPr>
                <w:sz w:val="23"/>
                <w:szCs w:val="23"/>
              </w:rPr>
              <w:t xml:space="preserve">Регулировочно-соединительное устройство должно соответствовать весу пациента. </w:t>
            </w:r>
          </w:p>
          <w:p w:rsidR="00420F97" w:rsidRPr="00420F97" w:rsidRDefault="00420F97" w:rsidP="00420F97">
            <w:pPr>
              <w:pBdr>
                <w:bottom w:val="single" w:sz="12" w:space="1" w:color="auto"/>
              </w:pBdr>
              <w:contextualSpacing/>
              <w:rPr>
                <w:sz w:val="23"/>
                <w:szCs w:val="23"/>
              </w:rPr>
            </w:pPr>
            <w:r w:rsidRPr="00420F97">
              <w:rPr>
                <w:sz w:val="23"/>
                <w:szCs w:val="23"/>
              </w:rPr>
              <w:lastRenderedPageBreak/>
              <w:t xml:space="preserve">Тип протеза по назначению должен быть: постоянный, с высоким уровнем двигательной активности. </w:t>
            </w:r>
          </w:p>
        </w:tc>
        <w:tc>
          <w:tcPr>
            <w:tcW w:w="344" w:type="pct"/>
          </w:tcPr>
          <w:p w:rsidR="00420F97" w:rsidRPr="00420F97" w:rsidRDefault="00420F97" w:rsidP="00420F97">
            <w:pPr>
              <w:keepLines/>
              <w:widowControl w:val="0"/>
              <w:jc w:val="both"/>
            </w:pPr>
            <w:r w:rsidRPr="00420F97">
              <w:lastRenderedPageBreak/>
              <w:t>1</w:t>
            </w:r>
          </w:p>
        </w:tc>
        <w:tc>
          <w:tcPr>
            <w:tcW w:w="361" w:type="pct"/>
          </w:tcPr>
          <w:p w:rsidR="00420F97" w:rsidRPr="00420F97" w:rsidRDefault="00420F97" w:rsidP="00420F97">
            <w:pPr>
              <w:keepLines/>
              <w:widowControl w:val="0"/>
              <w:jc w:val="both"/>
            </w:pPr>
            <w:r w:rsidRPr="00420F97">
              <w:t>штука</w:t>
            </w:r>
          </w:p>
        </w:tc>
        <w:tc>
          <w:tcPr>
            <w:tcW w:w="483" w:type="pct"/>
          </w:tcPr>
          <w:p w:rsidR="00420F97" w:rsidRPr="00420F97" w:rsidRDefault="00420F97" w:rsidP="00420F97">
            <w:pPr>
              <w:keepLines/>
              <w:widowControl w:val="0"/>
              <w:jc w:val="both"/>
            </w:pPr>
            <w:r w:rsidRPr="00420F97">
              <w:t>886 919,84</w:t>
            </w:r>
          </w:p>
        </w:tc>
        <w:tc>
          <w:tcPr>
            <w:tcW w:w="507" w:type="pct"/>
          </w:tcPr>
          <w:p w:rsidR="00420F97" w:rsidRPr="00420F97" w:rsidRDefault="00420F97" w:rsidP="00420F97">
            <w:pPr>
              <w:keepLines/>
              <w:widowControl w:val="0"/>
              <w:jc w:val="both"/>
            </w:pPr>
            <w:r w:rsidRPr="00420F97">
              <w:t>886 919,84</w:t>
            </w:r>
          </w:p>
        </w:tc>
      </w:tr>
      <w:tr w:rsidR="00420F97" w:rsidRPr="00420F97" w:rsidTr="00420F97">
        <w:tc>
          <w:tcPr>
            <w:tcW w:w="185" w:type="pct"/>
          </w:tcPr>
          <w:p w:rsidR="00420F97" w:rsidRPr="00420F97" w:rsidRDefault="00420F97" w:rsidP="00420F97">
            <w:pPr>
              <w:keepLines/>
              <w:widowControl w:val="0"/>
            </w:pPr>
            <w:r w:rsidRPr="00420F97">
              <w:t>2.</w:t>
            </w:r>
          </w:p>
        </w:tc>
        <w:tc>
          <w:tcPr>
            <w:tcW w:w="981" w:type="pct"/>
          </w:tcPr>
          <w:p w:rsidR="00420F97" w:rsidRPr="00420F97" w:rsidRDefault="00420F97" w:rsidP="00420F97">
            <w:pPr>
              <w:keepLines/>
              <w:widowControl w:val="0"/>
              <w:jc w:val="both"/>
            </w:pPr>
            <w:r w:rsidRPr="00420F97">
              <w:t>Протез бедра модульный, в том числе при врожденном недоразвитии</w:t>
            </w:r>
          </w:p>
        </w:tc>
        <w:tc>
          <w:tcPr>
            <w:tcW w:w="2139" w:type="pct"/>
            <w:vAlign w:val="center"/>
          </w:tcPr>
          <w:p w:rsidR="00420F97" w:rsidRPr="00420F97" w:rsidRDefault="00420F97" w:rsidP="00420F97">
            <w:r w:rsidRPr="00420F97">
              <w:t>Протез бедра модульный должен быть:</w:t>
            </w:r>
          </w:p>
          <w:p w:rsidR="00420F97" w:rsidRPr="00420F97" w:rsidRDefault="00420F97" w:rsidP="00420F97">
            <w:pPr>
              <w:contextualSpacing/>
            </w:pPr>
            <w:r w:rsidRPr="00420F97">
              <w:t>Постоянная гильза должна быть индивидуальная, изготовленная по индивидуальному слепку с культи инвалида из литьевого слоистого пластика на основе акриловых смол;</w:t>
            </w:r>
          </w:p>
          <w:p w:rsidR="00420F97" w:rsidRPr="00420F97" w:rsidRDefault="00420F97" w:rsidP="00420F97">
            <w:pPr>
              <w:contextualSpacing/>
            </w:pPr>
            <w:r w:rsidRPr="00420F97">
              <w:t>Приемная (пробная) гильза должно быть-1 шт.;</w:t>
            </w:r>
          </w:p>
          <w:p w:rsidR="00420F97" w:rsidRPr="00420F97" w:rsidRDefault="00420F97" w:rsidP="00420F97">
            <w:pPr>
              <w:contextualSpacing/>
            </w:pPr>
            <w:r w:rsidRPr="00420F97">
              <w:t>Коленный модуль должен быть полицентрический с дополнительным замковым устройством и с функциональным укорочением в фазе переноса, позволяющий приблизить походку пациента к более физиологичной;</w:t>
            </w:r>
          </w:p>
          <w:p w:rsidR="00420F97" w:rsidRPr="00420F97" w:rsidRDefault="00420F97" w:rsidP="00420F97">
            <w:pPr>
              <w:contextualSpacing/>
            </w:pPr>
            <w:r w:rsidRPr="00420F97">
              <w:t>Стопа должна быть с пластиковым закладным элементом в носочной части;</w:t>
            </w:r>
          </w:p>
          <w:p w:rsidR="00420F97" w:rsidRPr="00420F97" w:rsidRDefault="00420F97" w:rsidP="00420F97">
            <w:pPr>
              <w:contextualSpacing/>
            </w:pPr>
            <w:r w:rsidRPr="00420F97">
              <w:t>Регулировочно-соединительные устройства, соответствующие весу пациента;</w:t>
            </w:r>
          </w:p>
          <w:p w:rsidR="00420F97" w:rsidRPr="00420F97" w:rsidRDefault="00420F97" w:rsidP="00420F97">
            <w:pPr>
              <w:contextualSpacing/>
            </w:pPr>
            <w:r w:rsidRPr="00420F97">
              <w:t xml:space="preserve">Модульная косметическая облицовка должна быть из </w:t>
            </w:r>
            <w:proofErr w:type="spellStart"/>
            <w:r w:rsidRPr="00420F97">
              <w:t>пенополиуретана</w:t>
            </w:r>
            <w:proofErr w:type="spellEnd"/>
            <w:r w:rsidRPr="00420F97">
              <w:t>;</w:t>
            </w:r>
          </w:p>
          <w:p w:rsidR="00420F97" w:rsidRPr="00420F97" w:rsidRDefault="00420F97" w:rsidP="00420F97">
            <w:pPr>
              <w:contextualSpacing/>
            </w:pPr>
            <w:r w:rsidRPr="00420F97">
              <w:t xml:space="preserve">Покрытие облицовки должно быть чулки </w:t>
            </w:r>
            <w:proofErr w:type="spellStart"/>
            <w:r w:rsidRPr="00420F97">
              <w:t>перлоновые</w:t>
            </w:r>
            <w:proofErr w:type="spellEnd"/>
            <w:r w:rsidRPr="00420F97">
              <w:t xml:space="preserve"> ортопедические;</w:t>
            </w:r>
          </w:p>
          <w:p w:rsidR="00420F97" w:rsidRPr="00420F97" w:rsidRDefault="00420F97" w:rsidP="00420F97">
            <w:pPr>
              <w:contextualSpacing/>
            </w:pPr>
            <w:r w:rsidRPr="00420F97">
              <w:t>Крепление должно быть за счет бедренного бандажа и вакуума;</w:t>
            </w:r>
          </w:p>
        </w:tc>
        <w:tc>
          <w:tcPr>
            <w:tcW w:w="344" w:type="pct"/>
          </w:tcPr>
          <w:p w:rsidR="00420F97" w:rsidRPr="00420F97" w:rsidRDefault="00420F97" w:rsidP="00420F97">
            <w:pPr>
              <w:jc w:val="center"/>
            </w:pPr>
            <w:r w:rsidRPr="00420F97">
              <w:t>1</w:t>
            </w:r>
          </w:p>
        </w:tc>
        <w:tc>
          <w:tcPr>
            <w:tcW w:w="361" w:type="pct"/>
          </w:tcPr>
          <w:p w:rsidR="00420F97" w:rsidRPr="00420F97" w:rsidRDefault="00420F97" w:rsidP="00420F97">
            <w:pPr>
              <w:jc w:val="center"/>
            </w:pPr>
            <w:r w:rsidRPr="00420F97">
              <w:t>Штука</w:t>
            </w:r>
          </w:p>
        </w:tc>
        <w:tc>
          <w:tcPr>
            <w:tcW w:w="483" w:type="pct"/>
          </w:tcPr>
          <w:p w:rsidR="00420F97" w:rsidRPr="00420F97" w:rsidRDefault="00420F97" w:rsidP="00420F97">
            <w:pPr>
              <w:keepLines/>
              <w:widowControl w:val="0"/>
              <w:jc w:val="both"/>
            </w:pPr>
            <w:r w:rsidRPr="00420F97">
              <w:t>215 147,00</w:t>
            </w:r>
          </w:p>
        </w:tc>
        <w:tc>
          <w:tcPr>
            <w:tcW w:w="507" w:type="pct"/>
          </w:tcPr>
          <w:p w:rsidR="00420F97" w:rsidRPr="00420F97" w:rsidRDefault="00420F97" w:rsidP="00420F97">
            <w:pPr>
              <w:keepLines/>
              <w:widowControl w:val="0"/>
              <w:jc w:val="both"/>
            </w:pPr>
            <w:r w:rsidRPr="00420F97">
              <w:t>215 147,00</w:t>
            </w:r>
          </w:p>
        </w:tc>
      </w:tr>
      <w:tr w:rsidR="00420F97" w:rsidRPr="00420F97" w:rsidTr="00420F97">
        <w:tc>
          <w:tcPr>
            <w:tcW w:w="185" w:type="pct"/>
          </w:tcPr>
          <w:p w:rsidR="00420F97" w:rsidRPr="00420F97" w:rsidRDefault="00420F97" w:rsidP="00420F97">
            <w:pPr>
              <w:keepLines/>
              <w:widowControl w:val="0"/>
            </w:pPr>
            <w:r w:rsidRPr="00420F97">
              <w:t>3.</w:t>
            </w:r>
          </w:p>
        </w:tc>
        <w:tc>
          <w:tcPr>
            <w:tcW w:w="981" w:type="pct"/>
          </w:tcPr>
          <w:p w:rsidR="00420F97" w:rsidRPr="00420F97" w:rsidRDefault="00420F97" w:rsidP="00420F97">
            <w:pPr>
              <w:keepLines/>
              <w:widowControl w:val="0"/>
              <w:jc w:val="both"/>
            </w:pPr>
            <w:r w:rsidRPr="00420F97">
              <w:t>Протез бедра модульный, в том числе при врожденном недоразвитии</w:t>
            </w:r>
          </w:p>
        </w:tc>
        <w:tc>
          <w:tcPr>
            <w:tcW w:w="2139" w:type="pct"/>
            <w:vAlign w:val="center"/>
          </w:tcPr>
          <w:p w:rsidR="00420F97" w:rsidRPr="00420F97" w:rsidRDefault="00420F97" w:rsidP="00420F97">
            <w:r w:rsidRPr="00420F97">
              <w:t xml:space="preserve">Протез бедра модульный должен быть для инвалидов весом не более 125 кг. Приемная гильза должна быть индивидуальная. Материал приемной гильзы: литьевой слоистый пластик. Вкладной элемент должен быть- мягкий термопласт.  Косметическая облицовка должна быть мягкая полиуретановая. Косметическое покрытие облицовки должно быть чулки ортопедические. </w:t>
            </w:r>
          </w:p>
          <w:p w:rsidR="00420F97" w:rsidRPr="00420F97" w:rsidRDefault="00420F97" w:rsidP="00420F97">
            <w:r w:rsidRPr="00420F97">
              <w:t xml:space="preserve">Крепление протеза должно быть с использованием вакуумного клапана. </w:t>
            </w:r>
          </w:p>
          <w:p w:rsidR="00420F97" w:rsidRPr="00420F97" w:rsidRDefault="00420F97" w:rsidP="00420F97">
            <w:r w:rsidRPr="00420F97">
              <w:t xml:space="preserve">Стопа должна быть </w:t>
            </w:r>
            <w:proofErr w:type="spellStart"/>
            <w:r w:rsidRPr="00420F97">
              <w:t>углепластиковая</w:t>
            </w:r>
            <w:proofErr w:type="spellEnd"/>
            <w:r w:rsidRPr="00420F97">
              <w:t xml:space="preserve"> с высокой степенью энергосбережения со сменной косметической оболочкой. </w:t>
            </w:r>
          </w:p>
          <w:p w:rsidR="00420F97" w:rsidRPr="00420F97" w:rsidRDefault="00420F97" w:rsidP="00420F97">
            <w:r w:rsidRPr="00420F97">
              <w:t xml:space="preserve">Коленный модуль должен быть многоосный с независимым гидравлическим регулированием фаз сгибания и разгибания, с упругим подгибанием, с </w:t>
            </w:r>
            <w:r w:rsidRPr="00420F97">
              <w:lastRenderedPageBreak/>
              <w:t xml:space="preserve">геометрическим замком, </w:t>
            </w:r>
            <w:proofErr w:type="spellStart"/>
            <w:r w:rsidRPr="00420F97">
              <w:t>отключающимся</w:t>
            </w:r>
            <w:proofErr w:type="spellEnd"/>
            <w:r w:rsidRPr="00420F97">
              <w:t xml:space="preserve"> при переходе на носок</w:t>
            </w:r>
            <w:bookmarkStart w:id="0" w:name="_GoBack"/>
            <w:bookmarkEnd w:id="0"/>
          </w:p>
        </w:tc>
        <w:tc>
          <w:tcPr>
            <w:tcW w:w="344" w:type="pct"/>
          </w:tcPr>
          <w:p w:rsidR="00420F97" w:rsidRPr="00420F97" w:rsidRDefault="00420F97" w:rsidP="00420F97">
            <w:pPr>
              <w:jc w:val="center"/>
            </w:pPr>
            <w:r w:rsidRPr="00420F97">
              <w:lastRenderedPageBreak/>
              <w:t>1</w:t>
            </w:r>
          </w:p>
        </w:tc>
        <w:tc>
          <w:tcPr>
            <w:tcW w:w="361" w:type="pct"/>
          </w:tcPr>
          <w:p w:rsidR="00420F97" w:rsidRPr="00420F97" w:rsidRDefault="00420F97" w:rsidP="00420F97">
            <w:pPr>
              <w:jc w:val="center"/>
            </w:pPr>
            <w:r w:rsidRPr="00420F97">
              <w:t>Штука</w:t>
            </w:r>
          </w:p>
        </w:tc>
        <w:tc>
          <w:tcPr>
            <w:tcW w:w="483" w:type="pct"/>
          </w:tcPr>
          <w:p w:rsidR="00420F97" w:rsidRPr="00420F97" w:rsidRDefault="00420F97" w:rsidP="00420F97">
            <w:pPr>
              <w:keepLines/>
              <w:widowControl w:val="0"/>
              <w:jc w:val="both"/>
            </w:pPr>
            <w:r w:rsidRPr="00420F97">
              <w:t>845 341,33</w:t>
            </w:r>
          </w:p>
        </w:tc>
        <w:tc>
          <w:tcPr>
            <w:tcW w:w="507" w:type="pct"/>
          </w:tcPr>
          <w:p w:rsidR="00420F97" w:rsidRPr="00420F97" w:rsidRDefault="00420F97" w:rsidP="00420F97">
            <w:pPr>
              <w:keepLines/>
              <w:widowControl w:val="0"/>
              <w:jc w:val="both"/>
            </w:pPr>
            <w:r w:rsidRPr="00420F97">
              <w:t>845 341,33</w:t>
            </w:r>
          </w:p>
        </w:tc>
      </w:tr>
      <w:tr w:rsidR="00420F97" w:rsidRPr="00420F97" w:rsidTr="00420F97">
        <w:tc>
          <w:tcPr>
            <w:tcW w:w="185" w:type="pct"/>
          </w:tcPr>
          <w:p w:rsidR="00420F97" w:rsidRPr="00420F97" w:rsidRDefault="00420F97" w:rsidP="00420F97">
            <w:pPr>
              <w:keepLines/>
              <w:widowControl w:val="0"/>
            </w:pPr>
            <w:r w:rsidRPr="00420F97">
              <w:t>4.</w:t>
            </w:r>
          </w:p>
        </w:tc>
        <w:tc>
          <w:tcPr>
            <w:tcW w:w="981" w:type="pct"/>
          </w:tcPr>
          <w:p w:rsidR="00420F97" w:rsidRPr="00420F97" w:rsidRDefault="00420F97" w:rsidP="00420F97">
            <w:pPr>
              <w:keepLines/>
              <w:widowControl w:val="0"/>
              <w:jc w:val="both"/>
            </w:pPr>
            <w:r w:rsidRPr="00420F97">
              <w:t>Протез бедра модульный, в том числе при врожденном недоразвитии</w:t>
            </w:r>
          </w:p>
        </w:tc>
        <w:tc>
          <w:tcPr>
            <w:tcW w:w="2139" w:type="pct"/>
            <w:vAlign w:val="center"/>
          </w:tcPr>
          <w:p w:rsidR="00420F97" w:rsidRPr="00420F97" w:rsidRDefault="00420F97" w:rsidP="00420F97">
            <w:r w:rsidRPr="00420F97">
              <w:t xml:space="preserve">Протез бедра модульный должен быть с несущей </w:t>
            </w:r>
            <w:proofErr w:type="spellStart"/>
            <w:r w:rsidRPr="00420F97">
              <w:t>скелетированной</w:t>
            </w:r>
            <w:proofErr w:type="spellEnd"/>
            <w:r w:rsidRPr="00420F97">
              <w:t xml:space="preserve"> приёмной гильзой из антисептического материала с молекулами серебра, индивидуального изготовления по слепку, </w:t>
            </w:r>
          </w:p>
          <w:p w:rsidR="00420F97" w:rsidRPr="00420F97" w:rsidRDefault="00420F97" w:rsidP="00420F97">
            <w:r w:rsidRPr="00420F97">
              <w:t xml:space="preserve">Коленный модуль должен быть пневматический одноосный с тормозным механизмом, отличающимся при переходе на носок стопы и с независимым бесступенчатым механизмом регулирования фазы сгибания и разгибания, </w:t>
            </w:r>
          </w:p>
          <w:p w:rsidR="00420F97" w:rsidRPr="00420F97" w:rsidRDefault="00420F97" w:rsidP="00420F97">
            <w:r w:rsidRPr="00420F97">
              <w:t xml:space="preserve">Стопа должна быть </w:t>
            </w:r>
            <w:proofErr w:type="spellStart"/>
            <w:r w:rsidRPr="00420F97">
              <w:t>углепластиковая</w:t>
            </w:r>
            <w:proofErr w:type="spellEnd"/>
            <w:r w:rsidRPr="00420F97">
              <w:t xml:space="preserve"> со средней степенью энергосбережения для инвалидов со средним и повышенным уровнем двигательной активности, с торсионным адаптером для снятия ударной нагрузки на опорно-двигательный аппарат, полуфабрикаты титан на нагрузку до 125 кг, </w:t>
            </w:r>
          </w:p>
          <w:p w:rsidR="00420F97" w:rsidRPr="00420F97" w:rsidRDefault="00420F97" w:rsidP="00420F97">
            <w:r w:rsidRPr="00420F97">
              <w:t xml:space="preserve">косметическая облицовка модульная – </w:t>
            </w:r>
            <w:proofErr w:type="spellStart"/>
            <w:r w:rsidRPr="00420F97">
              <w:t>пенополиуретан</w:t>
            </w:r>
            <w:proofErr w:type="spellEnd"/>
            <w:r w:rsidRPr="00420F97">
              <w:t xml:space="preserve">, </w:t>
            </w:r>
          </w:p>
          <w:p w:rsidR="00420F97" w:rsidRPr="00420F97" w:rsidRDefault="00420F97" w:rsidP="00420F97">
            <w:r w:rsidRPr="00420F97">
              <w:t>крепление мышечное-</w:t>
            </w:r>
            <w:proofErr w:type="spellStart"/>
            <w:r w:rsidRPr="00420F97">
              <w:t>ваккумное</w:t>
            </w:r>
            <w:proofErr w:type="spellEnd"/>
            <w:r w:rsidRPr="00420F97">
              <w:t xml:space="preserve">, </w:t>
            </w:r>
          </w:p>
          <w:p w:rsidR="00420F97" w:rsidRPr="00420F97" w:rsidRDefault="00420F97" w:rsidP="00420F97">
            <w:r w:rsidRPr="00420F97">
              <w:t>используется поворотный адаптер</w:t>
            </w:r>
          </w:p>
        </w:tc>
        <w:tc>
          <w:tcPr>
            <w:tcW w:w="344" w:type="pct"/>
          </w:tcPr>
          <w:p w:rsidR="00420F97" w:rsidRPr="00420F97" w:rsidRDefault="00420F97" w:rsidP="00420F97">
            <w:pPr>
              <w:jc w:val="center"/>
            </w:pPr>
            <w:r w:rsidRPr="00420F97">
              <w:t>1</w:t>
            </w:r>
          </w:p>
        </w:tc>
        <w:tc>
          <w:tcPr>
            <w:tcW w:w="361" w:type="pct"/>
          </w:tcPr>
          <w:p w:rsidR="00420F97" w:rsidRPr="00420F97" w:rsidRDefault="00420F97" w:rsidP="00420F97">
            <w:pPr>
              <w:jc w:val="center"/>
            </w:pPr>
            <w:r w:rsidRPr="00420F97">
              <w:t>Штука</w:t>
            </w:r>
          </w:p>
        </w:tc>
        <w:tc>
          <w:tcPr>
            <w:tcW w:w="483" w:type="pct"/>
          </w:tcPr>
          <w:p w:rsidR="00420F97" w:rsidRPr="00420F97" w:rsidRDefault="00420F97" w:rsidP="00420F97">
            <w:pPr>
              <w:keepLines/>
              <w:widowControl w:val="0"/>
              <w:jc w:val="both"/>
            </w:pPr>
            <w:r w:rsidRPr="00420F97">
              <w:t>698 858,91</w:t>
            </w:r>
          </w:p>
        </w:tc>
        <w:tc>
          <w:tcPr>
            <w:tcW w:w="507" w:type="pct"/>
          </w:tcPr>
          <w:p w:rsidR="00420F97" w:rsidRPr="00420F97" w:rsidRDefault="00420F97" w:rsidP="00420F97">
            <w:pPr>
              <w:keepLines/>
              <w:widowControl w:val="0"/>
              <w:jc w:val="both"/>
            </w:pPr>
            <w:r w:rsidRPr="00420F97">
              <w:t>698 858,91</w:t>
            </w:r>
          </w:p>
        </w:tc>
      </w:tr>
      <w:tr w:rsidR="00420F97" w:rsidRPr="00420F97" w:rsidTr="00420F97">
        <w:tc>
          <w:tcPr>
            <w:tcW w:w="3649" w:type="pct"/>
            <w:gridSpan w:val="4"/>
          </w:tcPr>
          <w:p w:rsidR="00420F97" w:rsidRPr="00420F97" w:rsidRDefault="00420F97" w:rsidP="00420F97">
            <w:pPr>
              <w:keepLines/>
              <w:widowControl w:val="0"/>
              <w:jc w:val="both"/>
              <w:rPr>
                <w:b/>
              </w:rPr>
            </w:pPr>
            <w:r w:rsidRPr="00420F97">
              <w:rPr>
                <w:b/>
              </w:rPr>
              <w:t>ИТОГО:</w:t>
            </w:r>
          </w:p>
        </w:tc>
        <w:tc>
          <w:tcPr>
            <w:tcW w:w="361" w:type="pct"/>
          </w:tcPr>
          <w:p w:rsidR="00420F97" w:rsidRPr="00420F97" w:rsidRDefault="00420F97" w:rsidP="00420F97">
            <w:pPr>
              <w:keepLines/>
              <w:widowControl w:val="0"/>
              <w:jc w:val="both"/>
              <w:rPr>
                <w:b/>
              </w:rPr>
            </w:pPr>
            <w:r w:rsidRPr="00420F97">
              <w:rPr>
                <w:b/>
              </w:rPr>
              <w:t>4</w:t>
            </w:r>
          </w:p>
        </w:tc>
        <w:tc>
          <w:tcPr>
            <w:tcW w:w="483" w:type="pct"/>
          </w:tcPr>
          <w:p w:rsidR="00420F97" w:rsidRPr="00420F97" w:rsidRDefault="00420F97" w:rsidP="00420F97">
            <w:pPr>
              <w:keepLines/>
              <w:widowControl w:val="0"/>
              <w:jc w:val="both"/>
              <w:rPr>
                <w:b/>
              </w:rPr>
            </w:pPr>
          </w:p>
        </w:tc>
        <w:tc>
          <w:tcPr>
            <w:tcW w:w="507" w:type="pct"/>
          </w:tcPr>
          <w:p w:rsidR="00420F97" w:rsidRPr="00420F97" w:rsidRDefault="00420F97" w:rsidP="00420F97">
            <w:pPr>
              <w:keepLines/>
              <w:widowControl w:val="0"/>
              <w:jc w:val="both"/>
              <w:rPr>
                <w:b/>
              </w:rPr>
            </w:pPr>
            <w:r w:rsidRPr="00420F97">
              <w:rPr>
                <w:b/>
                <w:lang w:eastAsia="en-US"/>
              </w:rPr>
              <w:t>2 646 267,08</w:t>
            </w:r>
          </w:p>
        </w:tc>
      </w:tr>
    </w:tbl>
    <w:p w:rsidR="00420F97" w:rsidRPr="00420F97" w:rsidRDefault="00420F97" w:rsidP="00420F97">
      <w:pPr>
        <w:keepLines/>
        <w:widowControl w:val="0"/>
        <w:tabs>
          <w:tab w:val="left" w:pos="5865"/>
        </w:tabs>
        <w:jc w:val="center"/>
      </w:pPr>
    </w:p>
    <w:p w:rsidR="00420F97" w:rsidRPr="00420F97" w:rsidRDefault="00420F97" w:rsidP="00420F97">
      <w:pPr>
        <w:ind w:firstLine="567"/>
        <w:jc w:val="both"/>
      </w:pPr>
    </w:p>
    <w:p w:rsidR="00420F97" w:rsidRPr="00420F97" w:rsidRDefault="00420F97" w:rsidP="00420F97">
      <w:pPr>
        <w:ind w:firstLine="567"/>
        <w:jc w:val="both"/>
      </w:pPr>
      <w:r w:rsidRPr="00420F97">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420F97">
        <w:t>протезно</w:t>
      </w:r>
      <w:proofErr w:type="spellEnd"/>
      <w:r w:rsidRPr="00420F97">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420F97" w:rsidRPr="00420F97" w:rsidRDefault="00420F97" w:rsidP="00420F97">
      <w:pPr>
        <w:ind w:firstLine="567"/>
        <w:jc w:val="both"/>
      </w:pPr>
    </w:p>
    <w:p w:rsidR="00420F97" w:rsidRPr="00420F97" w:rsidRDefault="00420F97" w:rsidP="00420F97">
      <w:pPr>
        <w:ind w:left="426"/>
        <w:jc w:val="both"/>
      </w:pPr>
      <w:r w:rsidRPr="00420F97">
        <w:rPr>
          <w:b/>
        </w:rPr>
        <w:t>Условия и сроки (периоды) выполнения работ</w:t>
      </w:r>
      <w:r w:rsidRPr="00420F97">
        <w:t xml:space="preserve">: Срок изготовления протезно-ортопедического изделия не должен превышать 15 календарных дней со дня обращения инвалида с направлением Заказчика. Срок завершения работ должен быть не позднее </w:t>
      </w:r>
      <w:r w:rsidRPr="00420F97">
        <w:rPr>
          <w:b/>
          <w:bCs/>
        </w:rPr>
        <w:t>15.12.2022</w:t>
      </w:r>
      <w:r w:rsidRPr="00420F97">
        <w:t xml:space="preserve"> года</w:t>
      </w:r>
      <w:r w:rsidRPr="00420F97">
        <w:rPr>
          <w:highlight w:val="yellow"/>
        </w:rPr>
        <w:t xml:space="preserve"> </w:t>
      </w:r>
    </w:p>
    <w:p w:rsidR="00420F97" w:rsidRPr="00420F97" w:rsidRDefault="00420F97" w:rsidP="00420F97">
      <w:pPr>
        <w:ind w:firstLine="426"/>
        <w:jc w:val="both"/>
      </w:pPr>
      <w:r w:rsidRPr="00420F97">
        <w:rPr>
          <w:b/>
        </w:rPr>
        <w:t>Место выполнения работ:</w:t>
      </w:r>
      <w:r w:rsidRPr="00420F97">
        <w:t xml:space="preserve"> Выполнение работ в части изготовления изделий осуществляется по месту нахождения Исполнителя (Соисполнителя), а в части снятия мерок для дальнейшего изготовления, примерки, выдачи изделия и обучения пользованию изделием - по месту нахождения пунктов, </w:t>
      </w:r>
      <w:r w:rsidRPr="00420F97">
        <w:rPr>
          <w:bCs/>
        </w:rPr>
        <w:t>организованных в соответствии с приказом Министерства труда и социальной защиты РФ от 30 июля 2015 года №527н</w:t>
      </w:r>
      <w:r w:rsidRPr="00420F97">
        <w:t xml:space="preserve"> и расположенных на территории </w:t>
      </w:r>
      <w:r w:rsidRPr="00420F97">
        <w:rPr>
          <w:bCs/>
        </w:rPr>
        <w:t>Краснодарского края.</w:t>
      </w:r>
    </w:p>
    <w:p w:rsidR="00420F97" w:rsidRPr="00420F97" w:rsidRDefault="00420F97" w:rsidP="00420F97">
      <w:pPr>
        <w:tabs>
          <w:tab w:val="left" w:pos="4284"/>
        </w:tabs>
        <w:ind w:firstLine="426"/>
        <w:jc w:val="both"/>
      </w:pPr>
      <w:r w:rsidRPr="00420F97">
        <w:t>При этом в населенных пунктах на территории Краснодарского края</w:t>
      </w:r>
      <w:r w:rsidRPr="00420F97">
        <w:rPr>
          <w:bCs/>
        </w:rPr>
        <w:t xml:space="preserve"> могут располагаться </w:t>
      </w:r>
      <w:r w:rsidRPr="00420F97">
        <w:t xml:space="preserve">дополнительные пункты </w:t>
      </w:r>
      <w:r w:rsidRPr="00420F97">
        <w:rPr>
          <w:bCs/>
        </w:rPr>
        <w:t>для снятия мерок для дальнейшего изготовления, примерки, выдачи изделия и обучения пользованию изделием, организованные в соответствии с приказом Министерства труда и социальной защиты РФ от 30 июля 2015 года №527н</w:t>
      </w:r>
      <w:r>
        <w:t>.</w:t>
      </w:r>
    </w:p>
    <w:p w:rsidR="00420F97" w:rsidRPr="00420F97" w:rsidRDefault="00420F97" w:rsidP="00420F97">
      <w:pPr>
        <w:ind w:left="426"/>
        <w:jc w:val="both"/>
      </w:pPr>
      <w:r w:rsidRPr="00420F97">
        <w:t>Инвалиды I-ой группы должны обслуживаться на дому.</w:t>
      </w:r>
    </w:p>
    <w:p w:rsidR="00420F97" w:rsidRPr="00420F97" w:rsidRDefault="00420F97" w:rsidP="00420F97">
      <w:pPr>
        <w:ind w:left="426"/>
        <w:jc w:val="both"/>
      </w:pPr>
      <w:r w:rsidRPr="00420F97">
        <w:rPr>
          <w:b/>
          <w:color w:val="000000"/>
        </w:rPr>
        <w:lastRenderedPageBreak/>
        <w:t>Организация пунктов выдачи:</w:t>
      </w:r>
      <w:r w:rsidRPr="00420F97">
        <w:rPr>
          <w:color w:val="000000"/>
        </w:rPr>
        <w:t xml:space="preserve"> Доступное для Получателей</w:t>
      </w:r>
      <w:r w:rsidRPr="00420F97">
        <w:t xml:space="preserve">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rsidR="00420F97" w:rsidRPr="00420F97" w:rsidRDefault="00420F97" w:rsidP="00420F97">
      <w:pPr>
        <w:widowControl w:val="0"/>
        <w:shd w:val="clear" w:color="auto" w:fill="FFFFFF"/>
        <w:ind w:firstLine="709"/>
        <w:jc w:val="both"/>
      </w:pPr>
      <w:r w:rsidRPr="00420F97">
        <w:t>Вход в каждый пункт приема должен быть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должны быть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должны соответствовать требованиям СП 59.13330.2020. Свод правил. Доступность зданий и сооружений для маломобильных групп населения. Свод правил. Административные и бытовые здания.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420F97" w:rsidRPr="00420F97" w:rsidRDefault="00420F97" w:rsidP="00420F97">
      <w:pPr>
        <w:widowControl w:val="0"/>
        <w:shd w:val="clear" w:color="auto" w:fill="FFFFFF"/>
        <w:ind w:firstLine="709"/>
        <w:jc w:val="both"/>
      </w:pPr>
      <w:r w:rsidRPr="00420F97">
        <w:t xml:space="preserve">Зона ожидания Получателей должна быть оборудована мебелью для ожидания в сидячем положении. Зона обслуживания не должна располагаться в зоне ожидания. </w:t>
      </w:r>
    </w:p>
    <w:p w:rsidR="00420F97" w:rsidRPr="00420F97" w:rsidRDefault="00420F97" w:rsidP="00420F97">
      <w:pPr>
        <w:widowControl w:val="0"/>
        <w:shd w:val="clear" w:color="auto" w:fill="FFFFFF"/>
        <w:ind w:firstLine="709"/>
        <w:jc w:val="both"/>
        <w:rPr>
          <w:rFonts w:eastAsia="Calibri"/>
        </w:rPr>
      </w:pPr>
      <w:r w:rsidRPr="00420F97">
        <w:t>Изделия должны находиться на складе пункта (пунктов) приема, обеспечивающем его надлежащее хранение. Изделия не должны находятся в зоне ожидания, в зоне обслуживания, в проходах, на путях эвакуации и других помещениях, не предназначенных для хранения.</w:t>
      </w:r>
      <w:r w:rsidRPr="00420F97">
        <w:rPr>
          <w:rFonts w:eastAsia="Calibri"/>
        </w:rPr>
        <w:t xml:space="preserve"> Пункты приема Получателей, организованных Исполнителем должны быть на территории Краснодарского края, в том числе в г. Краснодаре.</w:t>
      </w:r>
    </w:p>
    <w:p w:rsidR="00420F97" w:rsidRPr="00420F97" w:rsidRDefault="00420F97" w:rsidP="00420F97">
      <w:pPr>
        <w:ind w:firstLine="709"/>
        <w:jc w:val="both"/>
      </w:pPr>
      <w:r w:rsidRPr="00420F97">
        <w:rPr>
          <w:b/>
        </w:rPr>
        <w:t>Требования к качеству работ</w:t>
      </w:r>
      <w:r w:rsidRPr="00420F97">
        <w:t xml:space="preserve">: протезы верхних конечностей должны соответствовать требованиям Межгосударственный стандарт ГОСТ ISO 10993-5-2011 «Изделия медицинские. Оценка биологического действия медицинских изделий. Часть 5. Исследования на </w:t>
      </w:r>
      <w:proofErr w:type="spellStart"/>
      <w:r w:rsidRPr="00420F97">
        <w:t>цитотоксичность</w:t>
      </w:r>
      <w:proofErr w:type="spellEnd"/>
      <w:r w:rsidRPr="00420F97">
        <w:t xml:space="preserve">: методы </w:t>
      </w:r>
      <w:proofErr w:type="spellStart"/>
      <w:r w:rsidRPr="00420F97">
        <w:t>in</w:t>
      </w:r>
      <w:proofErr w:type="spellEnd"/>
      <w:r w:rsidRPr="00420F97">
        <w:t xml:space="preserve"> </w:t>
      </w:r>
      <w:proofErr w:type="spellStart"/>
      <w:r w:rsidRPr="00420F97">
        <w:t>vitro</w:t>
      </w:r>
      <w:proofErr w:type="spellEnd"/>
      <w:r w:rsidRPr="00420F97">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Общие технические требования и методы испытаний»</w:t>
      </w:r>
      <w:r w:rsidRPr="00420F97">
        <w:rPr>
          <w:vertAlign w:val="superscript"/>
        </w:rPr>
        <w:t xml:space="preserve"> </w:t>
      </w:r>
      <w:r w:rsidRPr="00420F97">
        <w:t xml:space="preserve">Национального стандарта Российской Федерации ГОСТ Р ИСО 22523-2007 «Протезы конечностей и </w:t>
      </w:r>
      <w:proofErr w:type="spellStart"/>
      <w:r w:rsidRPr="00420F97">
        <w:t>ортезы</w:t>
      </w:r>
      <w:proofErr w:type="spellEnd"/>
      <w:r w:rsidRPr="00420F97">
        <w:t xml:space="preserve"> наружные. Требования и методы испытаний».</w:t>
      </w:r>
    </w:p>
    <w:p w:rsidR="00420F97" w:rsidRPr="00420F97" w:rsidRDefault="00420F97" w:rsidP="00420F97">
      <w:pPr>
        <w:ind w:firstLine="709"/>
        <w:jc w:val="both"/>
      </w:pPr>
      <w:r w:rsidRPr="00420F97">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420F97" w:rsidRPr="00420F97" w:rsidRDefault="00420F97" w:rsidP="00420F97">
      <w:pPr>
        <w:ind w:firstLine="709"/>
        <w:jc w:val="both"/>
      </w:pPr>
      <w:r w:rsidRPr="00420F97">
        <w:rPr>
          <w:b/>
        </w:rPr>
        <w:t>Требования к техническим и функциональным характеристикам работ</w:t>
      </w:r>
      <w:r w:rsidRPr="00420F97">
        <w:t xml:space="preserve">: Выполняемые работы по обеспечению протезами верхних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420F97" w:rsidRPr="00420F97" w:rsidRDefault="00420F97" w:rsidP="00420F97">
      <w:pPr>
        <w:ind w:firstLine="709"/>
        <w:jc w:val="both"/>
      </w:pPr>
      <w:r w:rsidRPr="00420F97">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пациента с помощью протеза верхней конечности.</w:t>
      </w:r>
    </w:p>
    <w:p w:rsidR="00420F97" w:rsidRPr="00420F97" w:rsidRDefault="00420F97" w:rsidP="00420F97">
      <w:pPr>
        <w:ind w:firstLine="709"/>
        <w:jc w:val="both"/>
      </w:pPr>
      <w:r w:rsidRPr="00420F97">
        <w:rPr>
          <w:b/>
        </w:rPr>
        <w:t>Требования к результатам работ:</w:t>
      </w:r>
      <w:r w:rsidRPr="00420F97">
        <w:t xml:space="preserve"> работы по обеспечению протезом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протезом должны выполняться с надлежащим качеством и в установленные сроки.</w:t>
      </w:r>
    </w:p>
    <w:p w:rsidR="00420F97" w:rsidRPr="00420F97" w:rsidRDefault="00420F97" w:rsidP="00420F97">
      <w:pPr>
        <w:ind w:firstLine="709"/>
        <w:jc w:val="both"/>
      </w:pPr>
      <w:r w:rsidRPr="00420F97">
        <w:rPr>
          <w:b/>
        </w:rPr>
        <w:t xml:space="preserve">Гарантийный срок на протезы </w:t>
      </w:r>
      <w:r w:rsidRPr="00420F97">
        <w:t>Срок предоставления гарантии должен составлять не менее 9 месяцев с момента выдачи изделия получателю.</w:t>
      </w:r>
    </w:p>
    <w:p w:rsidR="00420F97" w:rsidRPr="00420F97" w:rsidRDefault="00420F97" w:rsidP="00420F97">
      <w:pPr>
        <w:ind w:firstLine="709"/>
        <w:jc w:val="both"/>
      </w:pPr>
      <w:r w:rsidRPr="00420F97">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рабочих дней.</w:t>
      </w:r>
    </w:p>
    <w:p w:rsidR="00420F97" w:rsidRPr="00420F97" w:rsidRDefault="00420F97" w:rsidP="00420F97">
      <w:pPr>
        <w:keepLines/>
        <w:widowControl w:val="0"/>
        <w:tabs>
          <w:tab w:val="left" w:pos="3828"/>
          <w:tab w:val="center" w:pos="5244"/>
        </w:tabs>
        <w:jc w:val="both"/>
      </w:pPr>
    </w:p>
    <w:p w:rsidR="003D4910" w:rsidRPr="00101F8C" w:rsidRDefault="003D4910" w:rsidP="00420F97">
      <w:pPr>
        <w:keepLines/>
        <w:widowControl w:val="0"/>
        <w:ind w:firstLine="567"/>
        <w:jc w:val="both"/>
        <w:rPr>
          <w:b/>
        </w:rPr>
      </w:pPr>
    </w:p>
    <w:sectPr w:rsidR="003D4910" w:rsidRPr="00101F8C" w:rsidSect="00101F8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3" w:rsidRDefault="002D3AE3" w:rsidP="002D3AE3">
      <w:r>
        <w:separator/>
      </w:r>
    </w:p>
  </w:endnote>
  <w:endnote w:type="continuationSeparator" w:id="0">
    <w:p w:rsidR="002D3AE3" w:rsidRDefault="002D3AE3" w:rsidP="002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3" w:rsidRDefault="002D3AE3" w:rsidP="002D3AE3">
      <w:r>
        <w:separator/>
      </w:r>
    </w:p>
  </w:footnote>
  <w:footnote w:type="continuationSeparator" w:id="0">
    <w:p w:rsidR="002D3AE3" w:rsidRDefault="002D3AE3" w:rsidP="002D3AE3">
      <w:r>
        <w:continuationSeparator/>
      </w:r>
    </w:p>
  </w:footnote>
  <w:footnote w:id="1">
    <w:p w:rsidR="00420F97" w:rsidRDefault="00420F97" w:rsidP="00420F97">
      <w:pPr>
        <w:pStyle w:val="a4"/>
      </w:pPr>
      <w:r>
        <w:rPr>
          <w:rStyle w:val="a5"/>
        </w:rPr>
        <w:footnoteRef/>
      </w:r>
      <w:r>
        <w:t xml:space="preserve"> Не более</w:t>
      </w:r>
    </w:p>
  </w:footnote>
  <w:footnote w:id="2">
    <w:p w:rsidR="00420F97" w:rsidRDefault="00420F97" w:rsidP="00420F97">
      <w:pPr>
        <w:pStyle w:val="a4"/>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9D"/>
    <w:rsid w:val="00014BD2"/>
    <w:rsid w:val="00034E96"/>
    <w:rsid w:val="00101F8C"/>
    <w:rsid w:val="00175368"/>
    <w:rsid w:val="00296A3C"/>
    <w:rsid w:val="002D3AE3"/>
    <w:rsid w:val="00301F9D"/>
    <w:rsid w:val="00394647"/>
    <w:rsid w:val="003D4910"/>
    <w:rsid w:val="00420F97"/>
    <w:rsid w:val="0057073D"/>
    <w:rsid w:val="006F0DA1"/>
    <w:rsid w:val="00764E8F"/>
    <w:rsid w:val="00767299"/>
    <w:rsid w:val="007E71AA"/>
    <w:rsid w:val="0084539C"/>
    <w:rsid w:val="00851C5E"/>
    <w:rsid w:val="009944D3"/>
    <w:rsid w:val="00A060E2"/>
    <w:rsid w:val="00A5639F"/>
    <w:rsid w:val="00BC76AB"/>
    <w:rsid w:val="00D84F4A"/>
    <w:rsid w:val="00E25850"/>
    <w:rsid w:val="00EE4C7A"/>
    <w:rsid w:val="00F1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64EC-88F0-455E-B1C3-BCFC053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E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Текст сноски Знак1 Знак"/>
    <w:basedOn w:val="a0"/>
    <w:link w:val="a4"/>
    <w:uiPriority w:val="99"/>
    <w:locked/>
    <w:rsid w:val="002D3AE3"/>
    <w:rPr>
      <w:rFonts w:ascii="Times New Roman" w:eastAsia="Times New Roman" w:hAnsi="Times New Roman" w:cs="Times New Roman"/>
      <w:sz w:val="20"/>
      <w:szCs w:val="20"/>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3"/>
    <w:uiPriority w:val="99"/>
    <w:unhideWhenUsed/>
    <w:qFormat/>
    <w:rsid w:val="002D3AE3"/>
    <w:rPr>
      <w:sz w:val="20"/>
      <w:szCs w:val="20"/>
    </w:rPr>
  </w:style>
  <w:style w:type="character" w:customStyle="1" w:styleId="1">
    <w:name w:val="Текст сноски Знак1"/>
    <w:basedOn w:val="a0"/>
    <w:uiPriority w:val="99"/>
    <w:semiHidden/>
    <w:rsid w:val="002D3AE3"/>
    <w:rPr>
      <w:rFonts w:ascii="Times New Roman" w:eastAsia="Times New Roman" w:hAnsi="Times New Roman" w:cs="Times New Roman"/>
      <w:sz w:val="20"/>
      <w:szCs w:val="20"/>
      <w:lang w:eastAsia="ar-SA"/>
    </w:rPr>
  </w:style>
  <w:style w:type="character" w:styleId="a5">
    <w:name w:val="footnote reference"/>
    <w:aliases w:val="Ссылка на сноску 45"/>
    <w:basedOn w:val="a0"/>
    <w:uiPriority w:val="99"/>
    <w:unhideWhenUsed/>
    <w:rsid w:val="002D3AE3"/>
    <w:rPr>
      <w:vertAlign w:val="superscript"/>
    </w:rPr>
  </w:style>
  <w:style w:type="paragraph" w:styleId="a6">
    <w:name w:val="No Spacing"/>
    <w:link w:val="a7"/>
    <w:uiPriority w:val="1"/>
    <w:qFormat/>
    <w:rsid w:val="006F0DA1"/>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6F0DA1"/>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29</cp:revision>
  <dcterms:created xsi:type="dcterms:W3CDTF">2022-08-18T13:10:00Z</dcterms:created>
  <dcterms:modified xsi:type="dcterms:W3CDTF">2022-08-26T12:41:00Z</dcterms:modified>
</cp:coreProperties>
</file>