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9B" w:rsidRPr="002D0787" w:rsidRDefault="00BB669B" w:rsidP="00BB669B">
      <w:pPr>
        <w:jc w:val="right"/>
      </w:pPr>
      <w:r w:rsidRPr="002D0787">
        <w:t xml:space="preserve">Приложение № </w:t>
      </w:r>
      <w:r>
        <w:t>1</w:t>
      </w:r>
    </w:p>
    <w:p w:rsidR="00BB669B" w:rsidRDefault="00BB669B" w:rsidP="00BB669B">
      <w:pPr>
        <w:jc w:val="right"/>
      </w:pPr>
      <w:r>
        <w:t>к</w:t>
      </w:r>
      <w:r w:rsidRPr="002D0787">
        <w:t xml:space="preserve"> извещению о проведении закупки</w:t>
      </w:r>
    </w:p>
    <w:p w:rsidR="00BB669B" w:rsidRDefault="00BB669B"/>
    <w:p w:rsidR="00BB669B" w:rsidRDefault="00BB669B" w:rsidP="00BB669B">
      <w:pPr>
        <w:jc w:val="center"/>
        <w:rPr>
          <w:b/>
        </w:rPr>
      </w:pPr>
      <w:r w:rsidRPr="00A072E1">
        <w:rPr>
          <w:b/>
        </w:rPr>
        <w:t>Описание объекта закупки (техническое задание)</w:t>
      </w:r>
    </w:p>
    <w:p w:rsidR="00331E20" w:rsidRDefault="00331E20" w:rsidP="00125D9F">
      <w:pPr>
        <w:jc w:val="center"/>
      </w:pPr>
      <w:r w:rsidRPr="00331E20">
        <w:t xml:space="preserve">на выполнение работ по </w:t>
      </w:r>
      <w:r w:rsidR="00D64421" w:rsidRPr="00D64421">
        <w:t xml:space="preserve">изготовлению </w:t>
      </w:r>
      <w:r w:rsidR="00F64D8E" w:rsidRPr="00F64D8E">
        <w:t>протеза кисти с микропроцессорным управлением, в том числе при вычленении и частичном вычленении кисти</w:t>
      </w:r>
      <w:r w:rsidR="00D64421" w:rsidRPr="00D64421">
        <w:t xml:space="preserve"> для инвалида в 2022 году</w:t>
      </w:r>
    </w:p>
    <w:p w:rsidR="00D64421" w:rsidRDefault="00D64421" w:rsidP="00125D9F">
      <w:pPr>
        <w:jc w:val="center"/>
      </w:pP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b/>
        </w:rPr>
        <w:t>Срок выполнения работ:</w:t>
      </w:r>
      <w:r w:rsidRPr="00F64D8E">
        <w:t xml:space="preserve"> со дня, следующего за днем заключения государственного контракта до </w:t>
      </w:r>
      <w:r w:rsidRPr="00F64D8E">
        <w:rPr>
          <w:rFonts w:eastAsia="Times New Roman"/>
        </w:rPr>
        <w:t>30 октября 2022 года (включительно).</w:t>
      </w:r>
    </w:p>
    <w:p w:rsidR="00F64D8E" w:rsidRPr="00F64D8E" w:rsidRDefault="00F64D8E" w:rsidP="00F64D8E">
      <w:pPr>
        <w:ind w:right="-24"/>
        <w:jc w:val="both"/>
      </w:pPr>
    </w:p>
    <w:p w:rsidR="00F64D8E" w:rsidRPr="00F64D8E" w:rsidRDefault="00F64D8E" w:rsidP="00F64D8E">
      <w:pPr>
        <w:ind w:right="-24"/>
        <w:jc w:val="both"/>
      </w:pPr>
      <w:r w:rsidRPr="00F64D8E">
        <w:rPr>
          <w:b/>
        </w:rPr>
        <w:t>Сроки завершения работы:</w:t>
      </w:r>
      <w:r w:rsidRPr="00F64D8E">
        <w:t xml:space="preserve"> до</w:t>
      </w:r>
      <w:r w:rsidRPr="00F64D8E">
        <w:rPr>
          <w:rFonts w:eastAsia="Times New Roman"/>
        </w:rPr>
        <w:t xml:space="preserve"> 30 октября 2022 года (включительно).</w:t>
      </w:r>
    </w:p>
    <w:p w:rsidR="00F64D8E" w:rsidRPr="00F64D8E" w:rsidRDefault="00F64D8E" w:rsidP="00F64D8E">
      <w:pPr>
        <w:ind w:right="-24"/>
        <w:jc w:val="both"/>
        <w:rPr>
          <w:lang w:eastAsia="en-US"/>
        </w:rPr>
      </w:pP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lang w:eastAsia="en-US"/>
        </w:rPr>
        <w:t>1.</w:t>
      </w:r>
      <w:r w:rsidRPr="00F64D8E">
        <w:rPr>
          <w:rFonts w:eastAsia="Times New Roman"/>
        </w:rPr>
        <w:t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государственного контракта.</w:t>
      </w:r>
    </w:p>
    <w:p w:rsidR="00F64D8E" w:rsidRPr="00F64D8E" w:rsidRDefault="00F64D8E" w:rsidP="00F64D8E">
      <w:pPr>
        <w:ind w:right="-24"/>
        <w:jc w:val="both"/>
        <w:rPr>
          <w:lang w:eastAsia="en-US"/>
        </w:rPr>
      </w:pPr>
    </w:p>
    <w:p w:rsidR="00F64D8E" w:rsidRPr="00F64D8E" w:rsidRDefault="00F64D8E" w:rsidP="00F64D8E">
      <w:pPr>
        <w:autoSpaceDE w:val="0"/>
        <w:autoSpaceDN w:val="0"/>
        <w:adjustRightInd w:val="0"/>
        <w:jc w:val="both"/>
        <w:rPr>
          <w:rFonts w:eastAsia="Times New Roman"/>
        </w:rPr>
      </w:pPr>
      <w:r w:rsidRPr="00F64D8E">
        <w:rPr>
          <w:lang w:eastAsia="en-US"/>
        </w:rPr>
        <w:t xml:space="preserve">2. </w:t>
      </w:r>
      <w:r w:rsidRPr="00F64D8E">
        <w:rPr>
          <w:rFonts w:eastAsia="Times New Roman"/>
        </w:rPr>
        <w:t xml:space="preserve">Исполнитель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Изделие подлежит регистрации), и (или) декларации о соответствии или сертификата соответствия изготовляемого Изделия либо иных документов, свидетельствующих о качестве и безопасности Изделия, предусмотренных действующим законодательством Российской Федерации (при наличии).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новых.    </w:t>
      </w:r>
    </w:p>
    <w:p w:rsidR="00F64D8E" w:rsidRPr="00F64D8E" w:rsidRDefault="00F64D8E" w:rsidP="00F64D8E">
      <w:pPr>
        <w:autoSpaceDE w:val="0"/>
        <w:autoSpaceDN w:val="0"/>
        <w:adjustRightInd w:val="0"/>
        <w:jc w:val="both"/>
        <w:rPr>
          <w:lang w:eastAsia="ar-SA"/>
        </w:rPr>
      </w:pPr>
    </w:p>
    <w:tbl>
      <w:tblPr>
        <w:tblW w:w="986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48"/>
        <w:gridCol w:w="4962"/>
        <w:gridCol w:w="1701"/>
        <w:gridCol w:w="850"/>
      </w:tblGrid>
      <w:tr w:rsidR="00F64D8E" w:rsidRPr="00F64D8E" w:rsidTr="008B7B6D">
        <w:tc>
          <w:tcPr>
            <w:tcW w:w="502" w:type="dxa"/>
            <w:shd w:val="clear" w:color="auto" w:fill="auto"/>
          </w:tcPr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№</w:t>
            </w:r>
          </w:p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п/п</w:t>
            </w:r>
          </w:p>
        </w:tc>
        <w:tc>
          <w:tcPr>
            <w:tcW w:w="1848" w:type="dxa"/>
          </w:tcPr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Наименование Изделия</w:t>
            </w:r>
          </w:p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Показатель характеристики используемого Изделия</w:t>
            </w:r>
          </w:p>
        </w:tc>
        <w:tc>
          <w:tcPr>
            <w:tcW w:w="1701" w:type="dxa"/>
            <w:shd w:val="clear" w:color="auto" w:fill="auto"/>
          </w:tcPr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850" w:type="dxa"/>
            <w:shd w:val="clear" w:color="auto" w:fill="auto"/>
          </w:tcPr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Кол-во</w:t>
            </w:r>
          </w:p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F64D8E">
              <w:rPr>
                <w:rFonts w:eastAsia="Times New Roman"/>
                <w:sz w:val="21"/>
                <w:szCs w:val="21"/>
              </w:rPr>
              <w:t>(шт.)</w:t>
            </w:r>
          </w:p>
          <w:p w:rsidR="00F64D8E" w:rsidRPr="00F64D8E" w:rsidRDefault="00F64D8E" w:rsidP="00F64D8E">
            <w:pPr>
              <w:jc w:val="center"/>
              <w:rPr>
                <w:rFonts w:eastAsia="Times New Roman"/>
                <w:sz w:val="21"/>
                <w:szCs w:val="21"/>
              </w:rPr>
            </w:pPr>
          </w:p>
        </w:tc>
      </w:tr>
      <w:tr w:rsidR="00F64D8E" w:rsidRPr="00F64D8E" w:rsidTr="008B7B6D">
        <w:tc>
          <w:tcPr>
            <w:tcW w:w="502" w:type="dxa"/>
            <w:shd w:val="clear" w:color="auto" w:fill="auto"/>
          </w:tcPr>
          <w:p w:rsidR="00F64D8E" w:rsidRPr="00F64D8E" w:rsidRDefault="00F64D8E" w:rsidP="00F64D8E">
            <w:pPr>
              <w:rPr>
                <w:rFonts w:eastAsia="Times New Roman"/>
              </w:rPr>
            </w:pPr>
            <w:r w:rsidRPr="00F64D8E">
              <w:rPr>
                <w:rFonts w:eastAsia="Times New Roman"/>
              </w:rPr>
              <w:t>1.</w:t>
            </w:r>
          </w:p>
        </w:tc>
        <w:tc>
          <w:tcPr>
            <w:tcW w:w="1848" w:type="dxa"/>
          </w:tcPr>
          <w:p w:rsidR="00F64D8E" w:rsidRPr="00F64D8E" w:rsidRDefault="00F64D8E" w:rsidP="00F64D8E">
            <w:pPr>
              <w:tabs>
                <w:tab w:val="left" w:pos="9180"/>
              </w:tabs>
              <w:suppressAutoHyphens/>
              <w:spacing w:line="240" w:lineRule="atLeast"/>
              <w:ind w:left="-95"/>
              <w:rPr>
                <w:rFonts w:eastAsia="Times New Roman"/>
              </w:rPr>
            </w:pPr>
            <w:r w:rsidRPr="00F64D8E">
              <w:rPr>
                <w:rFonts w:eastAsia="Times New Roman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</w:p>
        </w:tc>
        <w:tc>
          <w:tcPr>
            <w:tcW w:w="4962" w:type="dxa"/>
            <w:shd w:val="clear" w:color="auto" w:fill="auto"/>
          </w:tcPr>
          <w:p w:rsidR="00F64D8E" w:rsidRPr="00F64D8E" w:rsidRDefault="00F64D8E" w:rsidP="00F64D8E">
            <w:pPr>
              <w:tabs>
                <w:tab w:val="left" w:pos="9180"/>
              </w:tabs>
              <w:suppressAutoHyphens/>
              <w:spacing w:line="240" w:lineRule="atLeast"/>
              <w:ind w:left="-95"/>
              <w:jc w:val="both"/>
              <w:rPr>
                <w:rFonts w:eastAsia="Times New Roman"/>
              </w:rPr>
            </w:pPr>
            <w:r w:rsidRPr="00F64D8E">
              <w:rPr>
                <w:rFonts w:eastAsia="Times New Roman"/>
              </w:rPr>
              <w:t>Протез изготавливается по индивидуальному техпроцессу для сложного протезирования и включает в себя постоянную приемную гильзу, которая изготавливается из мягких смол (</w:t>
            </w:r>
            <w:proofErr w:type="spellStart"/>
            <w:r w:rsidRPr="00F64D8E">
              <w:rPr>
                <w:rFonts w:eastAsia="Times New Roman"/>
              </w:rPr>
              <w:t>термолина</w:t>
            </w:r>
            <w:proofErr w:type="spellEnd"/>
            <w:r w:rsidRPr="00F64D8E">
              <w:rPr>
                <w:rFonts w:eastAsia="Times New Roman"/>
              </w:rPr>
              <w:t>) или высокотемпературного силикона медицинского назначения, несущую гильзу из композитных материалов на основе акриловых смол или изготавливаемую по индивидуальной приемной гильзе с применением 3</w:t>
            </w:r>
            <w:r w:rsidRPr="00F64D8E">
              <w:rPr>
                <w:rFonts w:eastAsia="Times New Roman"/>
                <w:lang w:val="en-US"/>
              </w:rPr>
              <w:t>D</w:t>
            </w:r>
            <w:r w:rsidRPr="00F64D8E">
              <w:rPr>
                <w:rFonts w:eastAsia="Times New Roman"/>
              </w:rPr>
              <w:t xml:space="preserve"> сканирования и печати </w:t>
            </w:r>
            <w:r w:rsidRPr="00F64D8E">
              <w:rPr>
                <w:rFonts w:eastAsia="Times New Roman"/>
                <w:lang w:val="en-US"/>
              </w:rPr>
              <w:t>SLS</w:t>
            </w:r>
            <w:r w:rsidRPr="00F64D8E">
              <w:rPr>
                <w:rFonts w:eastAsia="Times New Roman"/>
              </w:rPr>
              <w:t xml:space="preserve"> из полиамида, комплект модулей пальцев, систему электропитания и управления. 2-5 пальцы имеют подвижность в </w:t>
            </w:r>
            <w:proofErr w:type="spellStart"/>
            <w:r w:rsidRPr="00F64D8E">
              <w:rPr>
                <w:rFonts w:eastAsia="Times New Roman"/>
              </w:rPr>
              <w:t>пястно</w:t>
            </w:r>
            <w:proofErr w:type="spellEnd"/>
            <w:r w:rsidRPr="00F64D8E">
              <w:rPr>
                <w:rFonts w:eastAsia="Times New Roman"/>
              </w:rPr>
              <w:t xml:space="preserve"> – фаланговом и в первом межфаланговом суставе. Протез может запомнить 8 различных жестов, каждый может настраиваться индивидуально. По умолчанию в протезе настроен первый жест – </w:t>
            </w:r>
            <w:proofErr w:type="spellStart"/>
            <w:r w:rsidRPr="00F64D8E">
              <w:rPr>
                <w:rFonts w:eastAsia="Times New Roman"/>
              </w:rPr>
              <w:t>схват</w:t>
            </w:r>
            <w:proofErr w:type="spellEnd"/>
            <w:r w:rsidRPr="00F64D8E">
              <w:rPr>
                <w:rFonts w:eastAsia="Times New Roman"/>
              </w:rPr>
              <w:t xml:space="preserve"> в щепоть. Управление протезом происходит за счет регистрации на поверхности кожи предплечья или кисти </w:t>
            </w:r>
            <w:proofErr w:type="spellStart"/>
            <w:r w:rsidRPr="00F64D8E">
              <w:rPr>
                <w:rFonts w:eastAsia="Times New Roman"/>
              </w:rPr>
              <w:t>электромиографического</w:t>
            </w:r>
            <w:proofErr w:type="spellEnd"/>
            <w:r w:rsidRPr="00F64D8E">
              <w:rPr>
                <w:rFonts w:eastAsia="Times New Roman"/>
              </w:rPr>
              <w:t xml:space="preserve"> сигнала посредством </w:t>
            </w:r>
            <w:proofErr w:type="spellStart"/>
            <w:r w:rsidRPr="00F64D8E">
              <w:rPr>
                <w:rFonts w:eastAsia="Times New Roman"/>
              </w:rPr>
              <w:t>миодатчиков</w:t>
            </w:r>
            <w:proofErr w:type="spellEnd"/>
            <w:r w:rsidRPr="00F64D8E">
              <w:rPr>
                <w:rFonts w:eastAsia="Times New Roman"/>
              </w:rPr>
              <w:t xml:space="preserve">, расположенных во внутренней гильзе. Или искусственные электрические </w:t>
            </w:r>
            <w:proofErr w:type="spellStart"/>
            <w:r w:rsidRPr="00F64D8E">
              <w:rPr>
                <w:rFonts w:eastAsia="Times New Roman"/>
              </w:rPr>
              <w:t>фалангизированные</w:t>
            </w:r>
            <w:proofErr w:type="spellEnd"/>
            <w:r w:rsidRPr="00F64D8E">
              <w:rPr>
                <w:rFonts w:eastAsia="Times New Roman"/>
              </w:rPr>
              <w:t xml:space="preserve"> пальцы </w:t>
            </w:r>
            <w:r w:rsidRPr="00F64D8E">
              <w:rPr>
                <w:rFonts w:eastAsia="Times New Roman"/>
              </w:rPr>
              <w:lastRenderedPageBreak/>
              <w:t xml:space="preserve">протеза контролируются миоэлектрической системой пропорционального управления скоростью и силой </w:t>
            </w:r>
            <w:proofErr w:type="spellStart"/>
            <w:r w:rsidRPr="00F64D8E">
              <w:rPr>
                <w:rFonts w:eastAsia="Times New Roman"/>
              </w:rPr>
              <w:t>схвата</w:t>
            </w:r>
            <w:proofErr w:type="spellEnd"/>
            <w:r w:rsidRPr="00F64D8E">
              <w:rPr>
                <w:rFonts w:eastAsia="Times New Roman"/>
              </w:rPr>
              <w:t>, обеспечивающую естественную и скоординированную работу всех пальцев, гарантирующих выполнение более 14 моделей захвата предметов простых и сложных форм.</w:t>
            </w:r>
          </w:p>
        </w:tc>
        <w:tc>
          <w:tcPr>
            <w:tcW w:w="1701" w:type="dxa"/>
            <w:shd w:val="clear" w:color="auto" w:fill="auto"/>
          </w:tcPr>
          <w:p w:rsidR="00F64D8E" w:rsidRPr="00F64D8E" w:rsidRDefault="00F64D8E" w:rsidP="00F64D8E">
            <w:pPr>
              <w:rPr>
                <w:rFonts w:eastAsia="Times New Roman"/>
              </w:rPr>
            </w:pPr>
            <w:r w:rsidRPr="00F64D8E">
              <w:rPr>
                <w:rFonts w:eastAsia="Times New Roman"/>
              </w:rPr>
              <w:lastRenderedPageBreak/>
              <w:t xml:space="preserve">Акт медико-технической комиссии; </w:t>
            </w:r>
            <w:r w:rsidRPr="00F64D8E">
              <w:rPr>
                <w:rFonts w:eastAsia="Montserrat"/>
              </w:rPr>
              <w:t>Техническое описание протеза кисти с микропроцессорным управлением</w:t>
            </w:r>
          </w:p>
        </w:tc>
        <w:tc>
          <w:tcPr>
            <w:tcW w:w="850" w:type="dxa"/>
            <w:shd w:val="clear" w:color="auto" w:fill="auto"/>
          </w:tcPr>
          <w:p w:rsidR="00F64D8E" w:rsidRPr="00F64D8E" w:rsidRDefault="00F64D8E" w:rsidP="00F64D8E">
            <w:pPr>
              <w:jc w:val="center"/>
              <w:rPr>
                <w:rFonts w:eastAsia="Times New Roman"/>
              </w:rPr>
            </w:pPr>
            <w:r w:rsidRPr="00F64D8E">
              <w:rPr>
                <w:rFonts w:eastAsia="Times New Roman"/>
              </w:rPr>
              <w:t>1</w:t>
            </w:r>
          </w:p>
        </w:tc>
      </w:tr>
    </w:tbl>
    <w:p w:rsidR="00F64D8E" w:rsidRPr="00F64D8E" w:rsidRDefault="00F64D8E" w:rsidP="00F64D8E">
      <w:pPr>
        <w:autoSpaceDE w:val="0"/>
        <w:autoSpaceDN w:val="0"/>
        <w:adjustRightInd w:val="0"/>
        <w:jc w:val="both"/>
        <w:rPr>
          <w:lang w:eastAsia="ar-SA"/>
        </w:rPr>
      </w:pPr>
    </w:p>
    <w:p w:rsidR="00F64D8E" w:rsidRPr="00F64D8E" w:rsidRDefault="00F64D8E" w:rsidP="00F64D8E">
      <w:pPr>
        <w:ind w:right="-24"/>
        <w:jc w:val="both"/>
        <w:rPr>
          <w:lang w:eastAsia="en-US"/>
        </w:rPr>
      </w:pPr>
      <w:r w:rsidRPr="00F64D8E">
        <w:rPr>
          <w:bCs/>
          <w:lang w:eastAsia="en-US"/>
        </w:rPr>
        <w:t>3.1.</w:t>
      </w:r>
      <w:r w:rsidRPr="00F64D8E">
        <w:rPr>
          <w:lang w:eastAsia="en-US"/>
        </w:rPr>
        <w:t xml:space="preserve">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>3.2 Изделие должно соответствовать следующим государственным стандартам (ГОСТ), действующим на территории Российской Федерации: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 - ГОСТ Р 56138-2021 «Протезы верхних конечностей. Технические требования»;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 - ГОСТ Р 51819-2017 «Протезирование и </w:t>
      </w:r>
      <w:proofErr w:type="spellStart"/>
      <w:r w:rsidRPr="00F64D8E">
        <w:rPr>
          <w:rFonts w:eastAsia="Times New Roman"/>
        </w:rPr>
        <w:t>ортезирование</w:t>
      </w:r>
      <w:proofErr w:type="spellEnd"/>
      <w:r w:rsidRPr="00F64D8E">
        <w:rPr>
          <w:rFonts w:eastAsia="Times New Roman"/>
        </w:rPr>
        <w:t xml:space="preserve"> верхних и нижних конечностей» </w:t>
      </w:r>
      <w:r w:rsidRPr="00F64D8E">
        <w:rPr>
          <w:rFonts w:eastAsia="Times New Roman"/>
          <w:lang w:eastAsia="en-US"/>
        </w:rPr>
        <w:t>(</w:t>
      </w:r>
      <w:r w:rsidRPr="00F64D8E">
        <w:rPr>
          <w:rFonts w:eastAsiaTheme="minorHAnsi"/>
          <w:lang w:eastAsia="en-US"/>
        </w:rPr>
        <w:t xml:space="preserve">данный документ утрачивает силу с 01.11.2022 в связи с изданием Приказа </w:t>
      </w:r>
      <w:proofErr w:type="spellStart"/>
      <w:r w:rsidRPr="00F64D8E">
        <w:rPr>
          <w:rFonts w:eastAsiaTheme="minorHAnsi"/>
          <w:lang w:eastAsia="en-US"/>
        </w:rPr>
        <w:t>Росстандарта</w:t>
      </w:r>
      <w:proofErr w:type="spellEnd"/>
      <w:r w:rsidRPr="00F64D8E">
        <w:rPr>
          <w:rFonts w:eastAsiaTheme="minorHAnsi"/>
          <w:lang w:eastAsia="en-US"/>
        </w:rPr>
        <w:t xml:space="preserve"> от 05.04.2022 N 199-ст. Взамен вводится в действие ГОСТ Р 51819-2022)</w:t>
      </w:r>
      <w:r w:rsidRPr="00F64D8E">
        <w:rPr>
          <w:rFonts w:eastAsia="Times New Roman"/>
        </w:rPr>
        <w:t>;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 - </w:t>
      </w:r>
      <w:r w:rsidRPr="00F64D8E">
        <w:rPr>
          <w:rFonts w:eastAsia="Times New Roman"/>
          <w:lang w:eastAsia="en-US"/>
        </w:rPr>
        <w:t>ГОСТ Р 58267-2018 «Протезы наружные верхних конечностей. Термины и определения. Классификация».</w:t>
      </w:r>
      <w:r w:rsidRPr="00F64D8E">
        <w:rPr>
          <w:rFonts w:eastAsia="Times New Roman"/>
        </w:rPr>
        <w:t xml:space="preserve"> </w:t>
      </w:r>
    </w:p>
    <w:p w:rsidR="00F64D8E" w:rsidRPr="00F64D8E" w:rsidRDefault="00F64D8E" w:rsidP="00F64D8E">
      <w:pPr>
        <w:ind w:right="-24"/>
        <w:jc w:val="both"/>
        <w:rPr>
          <w:bCs/>
          <w:lang w:eastAsia="en-US"/>
        </w:rPr>
      </w:pPr>
      <w:r w:rsidRPr="00F64D8E">
        <w:rPr>
          <w:bCs/>
          <w:lang w:eastAsia="en-US"/>
        </w:rPr>
        <w:t>3.3.</w:t>
      </w:r>
      <w:r w:rsidRPr="00F64D8E">
        <w:rPr>
          <w:rFonts w:eastAsia="Times New Roman"/>
        </w:rPr>
        <w:t xml:space="preserve"> Изделие должно быть новым</w:t>
      </w:r>
      <w:r w:rsidRPr="00F64D8E">
        <w:t xml:space="preserve">, Изделием, которое не было в употреблении, в ремонте, в том числе которое не было восстановлено, у которого не была осуществлена замена составных частей, не были восстановлены потребительские свойства. </w:t>
      </w:r>
      <w:r w:rsidRPr="00F64D8E">
        <w:rPr>
          <w:rFonts w:eastAsia="Times New Roman"/>
        </w:rPr>
        <w:t>Изделие должно быть свободным от прав третьих лиц.</w:t>
      </w:r>
    </w:p>
    <w:p w:rsidR="00F64D8E" w:rsidRPr="00F64D8E" w:rsidRDefault="00F64D8E" w:rsidP="00F64D8E">
      <w:pPr>
        <w:autoSpaceDE w:val="0"/>
        <w:jc w:val="both"/>
        <w:rPr>
          <w:rFonts w:eastAsia="Times New Roman"/>
        </w:rPr>
      </w:pPr>
      <w:r w:rsidRPr="00F64D8E">
        <w:rPr>
          <w:bCs/>
          <w:lang w:eastAsia="en-US"/>
        </w:rPr>
        <w:t xml:space="preserve">3.4. </w:t>
      </w:r>
      <w:r w:rsidRPr="00F64D8E">
        <w:rPr>
          <w:rFonts w:eastAsia="Times New Roman"/>
        </w:rPr>
        <w:t>Упаковка Изделия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Маркировка, упаковка и хранение протеза должно осуществляться с соблюдением требований ГОСТ Р ИСО 22523-2007 «Протезы конечностей и </w:t>
      </w:r>
      <w:proofErr w:type="spellStart"/>
      <w:r w:rsidRPr="00F64D8E">
        <w:rPr>
          <w:rFonts w:eastAsia="Times New Roman"/>
        </w:rPr>
        <w:t>ортезы</w:t>
      </w:r>
      <w:proofErr w:type="spellEnd"/>
      <w:r w:rsidRPr="00F64D8E">
        <w:rPr>
          <w:rFonts w:eastAsia="Times New Roman"/>
        </w:rPr>
        <w:t xml:space="preserve"> наружные. Требования и методы испытаний» (раздел 13.2 «Маркировка», раздел 14 «Упаковка»). 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>3.5 Гарантийный срок на Изделие составляет: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- на функциональные части и на </w:t>
      </w:r>
      <w:proofErr w:type="spellStart"/>
      <w:r w:rsidRPr="00F64D8E">
        <w:rPr>
          <w:rFonts w:eastAsia="Times New Roman"/>
        </w:rPr>
        <w:t>культеприемную</w:t>
      </w:r>
      <w:proofErr w:type="spellEnd"/>
      <w:r w:rsidRPr="00F64D8E">
        <w:rPr>
          <w:rFonts w:eastAsia="Times New Roman"/>
        </w:rPr>
        <w:t xml:space="preserve"> гильзу индивидуального изготовления не менее 12 месяцев с даты получения Изделия Получателем, в соответствии с Приказом №107н от 05.03.2021.</w:t>
      </w:r>
    </w:p>
    <w:p w:rsidR="00F64D8E" w:rsidRPr="00F64D8E" w:rsidRDefault="00F64D8E" w:rsidP="00F64D8E">
      <w:pPr>
        <w:ind w:right="-24"/>
        <w:jc w:val="both"/>
        <w:rPr>
          <w:bCs/>
          <w:lang w:eastAsia="en-US"/>
        </w:rPr>
      </w:pPr>
      <w:r w:rsidRPr="00F64D8E">
        <w:rPr>
          <w:bCs/>
          <w:lang w:eastAsia="en-US"/>
        </w:rPr>
        <w:t>4. Исполнитель обязан:</w:t>
      </w:r>
    </w:p>
    <w:p w:rsidR="00F64D8E" w:rsidRPr="00F64D8E" w:rsidRDefault="00F64D8E" w:rsidP="00F64D8E">
      <w:pPr>
        <w:ind w:right="-24"/>
        <w:jc w:val="both"/>
        <w:rPr>
          <w:rFonts w:eastAsia="Times New Roman"/>
          <w:bCs/>
          <w:lang w:eastAsia="en-US"/>
        </w:rPr>
      </w:pPr>
      <w:r w:rsidRPr="00F64D8E">
        <w:rPr>
          <w:bCs/>
          <w:lang w:eastAsia="en-US"/>
        </w:rPr>
        <w:t xml:space="preserve">4.1. </w:t>
      </w:r>
      <w:r w:rsidRPr="00F64D8E">
        <w:rPr>
          <w:rFonts w:eastAsia="Times New Roman"/>
          <w:bCs/>
          <w:lang w:eastAsia="en-US"/>
        </w:rPr>
        <w:t xml:space="preserve">Изготавливать Изделие для Получателя, имеющее </w:t>
      </w:r>
      <w:r w:rsidRPr="00F64D8E">
        <w:rPr>
          <w:rFonts w:eastAsia="Times New Roman"/>
        </w:rPr>
        <w:t>действующие декларации о соответствии, оформленные в соответствии с законодательством Российской Федерации (при наличии). В случае, если ранее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 </w:t>
      </w:r>
    </w:p>
    <w:p w:rsidR="00F64D8E" w:rsidRPr="00F64D8E" w:rsidRDefault="00F64D8E" w:rsidP="00F64D8E">
      <w:pPr>
        <w:ind w:right="-24"/>
        <w:jc w:val="both"/>
        <w:rPr>
          <w:rFonts w:eastAsia="Times New Roman"/>
          <w:lang w:eastAsia="ar-SA"/>
        </w:rPr>
      </w:pPr>
      <w:r w:rsidRPr="00F64D8E">
        <w:rPr>
          <w:rFonts w:eastAsia="Times New Roman"/>
          <w:lang w:eastAsia="ar-SA"/>
        </w:rPr>
        <w:t>4.2.</w:t>
      </w:r>
      <w:r w:rsidRPr="00F64D8E">
        <w:rPr>
          <w:rFonts w:eastAsia="Times New Roman"/>
        </w:rPr>
        <w:t xml:space="preserve">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не допускается. 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64D8E" w:rsidRPr="00F64D8E" w:rsidRDefault="00F64D8E" w:rsidP="00F64D8E">
      <w:pPr>
        <w:jc w:val="both"/>
        <w:rPr>
          <w:rFonts w:ascii="Times New Roman CYR" w:eastAsia="Times New Roman" w:hAnsi="Times New Roman CYR" w:cs="Times New Roman CYR"/>
        </w:rPr>
      </w:pPr>
      <w:r w:rsidRPr="00F64D8E">
        <w:rPr>
          <w:rFonts w:eastAsia="Times New Roman"/>
        </w:rPr>
        <w:lastRenderedPageBreak/>
        <w:t xml:space="preserve">4.3. </w:t>
      </w:r>
      <w:r w:rsidRPr="00F64D8E">
        <w:rPr>
          <w:rFonts w:ascii="Times New Roman CYR" w:eastAsia="Times New Roman" w:hAnsi="Times New Roman CYR" w:cs="Times New Roman CYR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F64D8E">
        <w:rPr>
          <w:rFonts w:ascii="Times New Roman CYR" w:eastAsia="Times New Roman" w:hAnsi="Times New Roman CYR" w:cs="Times New Roman CYR"/>
        </w:rPr>
        <w:t>Роспотребнадзора</w:t>
      </w:r>
      <w:proofErr w:type="spellEnd"/>
      <w:r w:rsidRPr="00F64D8E">
        <w:rPr>
          <w:rFonts w:ascii="Times New Roman CYR" w:eastAsia="Times New Roman" w:hAnsi="Times New Roman CYR" w:cs="Times New Roman CYR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F64D8E">
        <w:rPr>
          <w:rFonts w:ascii="Times New Roman CYR" w:eastAsia="Times New Roman" w:hAnsi="Times New Roman CYR" w:cs="Times New Roman CYR"/>
        </w:rPr>
        <w:t>коронавирусной</w:t>
      </w:r>
      <w:proofErr w:type="spellEnd"/>
      <w:r w:rsidRPr="00F64D8E">
        <w:rPr>
          <w:rFonts w:ascii="Times New Roman CYR" w:eastAsia="Times New Roman" w:hAnsi="Times New Roman CYR" w:cs="Times New Roman CYR"/>
        </w:rPr>
        <w:t xml:space="preserve"> инфекции (COVID-19).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>4.4.</w:t>
      </w:r>
      <w:r w:rsidRPr="00F64D8E">
        <w:rPr>
          <w:rFonts w:ascii="Times New Roman CYR" w:eastAsia="Times New Roman" w:hAnsi="Times New Roman CYR" w:cs="Times New Roman CYR"/>
        </w:rPr>
        <w:t xml:space="preserve"> Обеспечить возможность изготовления Изделия со дня, следующего за днем передачи Исполнителю реестра Получателю.</w:t>
      </w:r>
    </w:p>
    <w:p w:rsidR="00F64D8E" w:rsidRPr="00F64D8E" w:rsidRDefault="00F64D8E" w:rsidP="00F64D8E">
      <w:pPr>
        <w:ind w:right="-24"/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</w:rPr>
        <w:t>4.5.</w:t>
      </w:r>
      <w:r w:rsidRPr="00F64D8E">
        <w:rPr>
          <w:rFonts w:eastAsia="Times New Roman"/>
          <w:color w:val="000000" w:themeColor="text1"/>
        </w:rPr>
        <w:t xml:space="preserve"> Осуществлять в течение гарантийного срока за счет собственных средств гарантийный ремонт Изделия и (или) гарантийную замену Изделия, преждевременно вышедших из строя не по вине Получателя, и (или) имеющих скрытые недостатки или дефекты (брак).</w:t>
      </w:r>
    </w:p>
    <w:p w:rsidR="00F64D8E" w:rsidRPr="00F64D8E" w:rsidRDefault="00F64D8E" w:rsidP="00F64D8E">
      <w:pPr>
        <w:jc w:val="both"/>
        <w:rPr>
          <w:rFonts w:ascii="Times New Roman CYR" w:eastAsia="Times New Roman" w:hAnsi="Times New Roman CYR" w:cs="Times New Roman CYR"/>
        </w:rPr>
      </w:pPr>
      <w:r w:rsidRPr="00F64D8E">
        <w:rPr>
          <w:rFonts w:ascii="Times New Roman CYR" w:eastAsia="Times New Roman" w:hAnsi="Times New Roman CYR" w:cs="Times New Roman CYR"/>
        </w:rPr>
        <w:t>В случае обнаружения Получателем в течение гарантийного срока Изделия при его должной эксплуатации несоответствия качества Изделия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Изделие подлежит гарантийному ремонту) либо осуществлена замена Изделия на аналогичное Изделие надлежащего качества.</w:t>
      </w:r>
    </w:p>
    <w:p w:rsidR="00F64D8E" w:rsidRPr="00F64D8E" w:rsidRDefault="00F64D8E" w:rsidP="00F64D8E">
      <w:pPr>
        <w:jc w:val="both"/>
        <w:rPr>
          <w:rFonts w:ascii="Times New Roman CYR" w:eastAsia="Times New Roman" w:hAnsi="Times New Roman CYR" w:cs="Times New Roman CYR"/>
        </w:rPr>
      </w:pPr>
      <w:r w:rsidRPr="00F64D8E">
        <w:rPr>
          <w:rFonts w:ascii="Times New Roman CYR" w:eastAsia="Times New Roman" w:hAnsi="Times New Roman CYR" w:cs="Times New Roman CYR"/>
        </w:rPr>
        <w:t>Срок выполнения гарантийного ремонта Изделия не должен превышать 20 рабочих дней со дня обращения Получателя (Заказчика).</w:t>
      </w:r>
    </w:p>
    <w:p w:rsidR="00F64D8E" w:rsidRPr="00F64D8E" w:rsidRDefault="00F64D8E" w:rsidP="00F64D8E">
      <w:pPr>
        <w:jc w:val="both"/>
        <w:rPr>
          <w:rFonts w:ascii="Times New Roman CYR" w:eastAsia="Times New Roman" w:hAnsi="Times New Roman CYR" w:cs="Times New Roman CYR"/>
        </w:rPr>
      </w:pPr>
      <w:r w:rsidRPr="00F64D8E">
        <w:rPr>
          <w:rFonts w:ascii="Times New Roman CYR" w:eastAsia="Times New Roman" w:hAnsi="Times New Roman CYR" w:cs="Times New Roman CYR"/>
        </w:rPr>
        <w:t>Срок осуществления замены Изделия не должен превышать 15 рабочих дней со дня обращения Получателя (Заказчика).</w:t>
      </w:r>
    </w:p>
    <w:p w:rsidR="00F64D8E" w:rsidRPr="00F64D8E" w:rsidRDefault="00F64D8E" w:rsidP="00F64D8E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  <w:color w:val="000000" w:themeColor="text1"/>
        </w:rPr>
        <w:t xml:space="preserve">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Изделия в период гарантийного срока Исполнитель должен осуществить замену такого Изделия. </w:t>
      </w:r>
    </w:p>
    <w:p w:rsidR="00F64D8E" w:rsidRPr="00F64D8E" w:rsidRDefault="00F64D8E" w:rsidP="00F64D8E">
      <w:pPr>
        <w:autoSpaceDE w:val="0"/>
        <w:ind w:right="-24"/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  <w:color w:val="000000" w:themeColor="text1"/>
        </w:rPr>
        <w:t>В связи с тем, что передача Изделия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Получателя.</w:t>
      </w:r>
    </w:p>
    <w:p w:rsidR="00F64D8E" w:rsidRPr="00F64D8E" w:rsidRDefault="00F64D8E" w:rsidP="00F64D8E">
      <w:pPr>
        <w:suppressAutoHyphens/>
        <w:ind w:right="-24"/>
        <w:jc w:val="both"/>
      </w:pPr>
      <w:r w:rsidRPr="00F64D8E">
        <w:t>Прием Получателя по вопросам, касающимся выдачи и гарантийного ремонта Изделия, осуществляется Исполнителем по месту нахождения организованных Исполнителем пунктов приема на территории Санкт-Петербурга.</w:t>
      </w:r>
    </w:p>
    <w:p w:rsidR="00F64D8E" w:rsidRPr="00F64D8E" w:rsidRDefault="00F64D8E" w:rsidP="00F64D8E">
      <w:pPr>
        <w:jc w:val="both"/>
        <w:rPr>
          <w:rFonts w:ascii="Times New Roman CYR" w:eastAsia="Times New Roman" w:hAnsi="Times New Roman CYR" w:cs="Times New Roman CYR"/>
        </w:rPr>
      </w:pPr>
      <w:r w:rsidRPr="00F64D8E">
        <w:rPr>
          <w:rFonts w:eastAsia="Times New Roman"/>
        </w:rPr>
        <w:t xml:space="preserve">4.6. </w:t>
      </w:r>
      <w:r w:rsidRPr="00F64D8E">
        <w:rPr>
          <w:rFonts w:ascii="Times New Roman CYR" w:eastAsia="Times New Roman" w:hAnsi="Times New Roman CYR" w:cs="Times New Roman CYR"/>
        </w:rPr>
        <w:t xml:space="preserve">Давать справки Получателю по вопросам, связанным с изготовлением Изделия, </w:t>
      </w:r>
      <w:r w:rsidRPr="00F64D8E">
        <w:rPr>
          <w:rFonts w:eastAsia="Times New Roman"/>
        </w:rPr>
        <w:t>а также осуществлять прием заявок на доставку Изделия по месту нахождения Получателя</w:t>
      </w:r>
      <w:r w:rsidRPr="00F64D8E">
        <w:rPr>
          <w:rFonts w:ascii="Times New Roman CYR" w:eastAsia="Times New Roman" w:hAnsi="Times New Roman CYR" w:cs="Times New Roman CYR"/>
        </w:rPr>
        <w:t xml:space="preserve"> в часы работы пункта (пунктов) приема Получателей. Для звонков Получателя должен быть выделен телефонный номер. Информацию о телефонном номере Исполнитель должен предоставить Заказчику не позднее 1 (одного) дня с даты заключения государственного контракта.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ascii="Times New Roman CYR" w:eastAsia="Times New Roman" w:hAnsi="Times New Roman CYR" w:cs="Times New Roman CYR"/>
        </w:rPr>
        <w:t>Звонки с городских номеров Санкт-Петербурга должны быть бесплатными для Получателя, а именно: не допускается взимание дополнительной оплаты телефонных</w:t>
      </w:r>
      <w:r w:rsidRPr="00F64D8E">
        <w:rPr>
          <w:rFonts w:eastAsia="Times New Roman"/>
        </w:rPr>
        <w:t xml:space="preserve"> переговоров Получателя в виде предоставления для звонков Получателя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Исполнителем. 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>4.7. Вести аудиозаписи телефонных разговоров с Получателем по вопросам получения Изделия. По требованию Заказчика Исполнитель обязан предоставлять такие аудиозаписи. Вести журнал телефонных звонков с Получателей Изделия (передается Заказчиком по мере формирования) с пометкой о времени звонка, результате звонка и выборе Получателем способа, места и времени доставки Изделия.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Изделия Получателю не позднее дня, следующего за днем доставки, согласованным с Получателем.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 w:rsidRPr="00F64D8E">
          <w:rPr>
            <w:rFonts w:eastAsia="Times New Roman"/>
            <w:color w:val="0563C1" w:themeColor="hyperlink"/>
            <w:u w:val="single"/>
          </w:rPr>
          <w:t>osp@ro78.fss.ru</w:t>
        </w:r>
      </w:hyperlink>
      <w:r w:rsidRPr="00F64D8E">
        <w:rPr>
          <w:rFonts w:eastAsia="Times New Roman"/>
        </w:rPr>
        <w:t xml:space="preserve">, </w:t>
      </w:r>
      <w:hyperlink r:id="rId6" w:history="1">
        <w:r w:rsidRPr="00F64D8E">
          <w:rPr>
            <w:rFonts w:eastAsia="Times New Roman"/>
            <w:color w:val="0563C1" w:themeColor="hyperlink"/>
            <w:u w:val="single"/>
          </w:rPr>
          <w:t>tsrfil31@ro78.fss.ru</w:t>
        </w:r>
      </w:hyperlink>
      <w:r w:rsidRPr="00F64D8E">
        <w:rPr>
          <w:rFonts w:eastAsia="Times New Roman"/>
        </w:rPr>
        <w:t>.</w:t>
      </w:r>
    </w:p>
    <w:p w:rsidR="00F64D8E" w:rsidRPr="00F64D8E" w:rsidRDefault="00F64D8E" w:rsidP="00F64D8E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64D8E">
        <w:rPr>
          <w:rFonts w:eastAsia="Times New Roman"/>
        </w:rPr>
        <w:lastRenderedPageBreak/>
        <w:t xml:space="preserve">4.9.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номер контактного телефона;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адрес электронной почты;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/>
          <w:lang w:eastAsia="en-US"/>
        </w:rPr>
      </w:pPr>
      <w:r w:rsidRPr="00F64D8E">
        <w:rPr>
          <w:rFonts w:eastAsia="Times New Roman"/>
          <w:lang w:eastAsia="en-US"/>
        </w:rPr>
        <w:t>перечень операций, выполняемых соисполнителем в рамках государственного контракта;</w:t>
      </w:r>
    </w:p>
    <w:p w:rsidR="00F64D8E" w:rsidRPr="00F64D8E" w:rsidRDefault="00F64D8E" w:rsidP="00F64D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eastAsia="Times New Roman" w:hAnsi="Calibri"/>
          <w:lang w:eastAsia="en-US"/>
        </w:rPr>
      </w:pPr>
      <w:r w:rsidRPr="00F64D8E">
        <w:rPr>
          <w:rFonts w:eastAsia="Times New Roman"/>
          <w:lang w:eastAsia="en-US"/>
        </w:rPr>
        <w:t xml:space="preserve">срок </w:t>
      </w:r>
      <w:proofErr w:type="spellStart"/>
      <w:r w:rsidRPr="00F64D8E">
        <w:rPr>
          <w:rFonts w:eastAsia="Times New Roman"/>
          <w:lang w:eastAsia="en-US"/>
        </w:rPr>
        <w:t>соисполнительства</w:t>
      </w:r>
      <w:proofErr w:type="spellEnd"/>
      <w:r w:rsidRPr="00F64D8E">
        <w:rPr>
          <w:rFonts w:eastAsia="Times New Roman"/>
          <w:lang w:eastAsia="en-US"/>
        </w:rPr>
        <w:t>.</w:t>
      </w:r>
    </w:p>
    <w:p w:rsidR="00F64D8E" w:rsidRPr="00F64D8E" w:rsidRDefault="00F64D8E" w:rsidP="00F64D8E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64D8E">
        <w:rPr>
          <w:rFonts w:eastAsia="Times New Roman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F64D8E" w:rsidRPr="00F64D8E" w:rsidRDefault="00F64D8E" w:rsidP="00F64D8E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64D8E">
        <w:rPr>
          <w:rFonts w:eastAsia="Times New Roman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F64D8E" w:rsidRPr="00F64D8E" w:rsidRDefault="00F64D8E" w:rsidP="00F64D8E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F64D8E">
          <w:rPr>
            <w:rFonts w:eastAsia="Times New Roman"/>
            <w:color w:val="000080"/>
            <w:u w:val="single"/>
            <w:lang w:val="en-US"/>
          </w:rPr>
          <w:t>osp</w:t>
        </w:r>
        <w:r w:rsidRPr="00F64D8E">
          <w:rPr>
            <w:rFonts w:eastAsia="Times New Roman"/>
            <w:color w:val="000080"/>
            <w:u w:val="single"/>
          </w:rPr>
          <w:t>@</w:t>
        </w:r>
        <w:r w:rsidRPr="00F64D8E">
          <w:rPr>
            <w:rFonts w:eastAsia="Times New Roman"/>
            <w:color w:val="000080"/>
            <w:u w:val="single"/>
            <w:lang w:val="en-US"/>
          </w:rPr>
          <w:t>ro</w:t>
        </w:r>
        <w:r w:rsidRPr="00F64D8E">
          <w:rPr>
            <w:rFonts w:eastAsia="Times New Roman"/>
            <w:color w:val="000080"/>
            <w:u w:val="single"/>
          </w:rPr>
          <w:t>78.</w:t>
        </w:r>
        <w:r w:rsidRPr="00F64D8E">
          <w:rPr>
            <w:rFonts w:eastAsia="Times New Roman"/>
            <w:color w:val="000080"/>
            <w:u w:val="single"/>
            <w:lang w:val="en-US"/>
          </w:rPr>
          <w:t>fss</w:t>
        </w:r>
        <w:r w:rsidRPr="00F64D8E">
          <w:rPr>
            <w:rFonts w:eastAsia="Times New Roman"/>
            <w:color w:val="000080"/>
            <w:u w:val="single"/>
          </w:rPr>
          <w:t>.</w:t>
        </w:r>
        <w:proofErr w:type="spellStart"/>
        <w:r w:rsidRPr="00F64D8E">
          <w:rPr>
            <w:rFonts w:eastAsia="Times New Roman"/>
            <w:color w:val="000080"/>
            <w:u w:val="single"/>
            <w:lang w:val="en-US"/>
          </w:rPr>
          <w:t>ru</w:t>
        </w:r>
        <w:proofErr w:type="spellEnd"/>
      </w:hyperlink>
      <w:r w:rsidRPr="00F64D8E">
        <w:rPr>
          <w:rFonts w:eastAsia="Times New Roman"/>
        </w:rPr>
        <w:t xml:space="preserve">. 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>5. Способ выдачи Изделия:</w:t>
      </w:r>
    </w:p>
    <w:p w:rsidR="00F64D8E" w:rsidRPr="00F64D8E" w:rsidRDefault="00F64D8E" w:rsidP="00F64D8E">
      <w:pPr>
        <w:ind w:right="-24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5.1. </w:t>
      </w:r>
      <w:r w:rsidRPr="00F64D8E">
        <w:rPr>
          <w:rFonts w:eastAsia="Times New Roman"/>
          <w:color w:val="000000" w:themeColor="text1"/>
        </w:rPr>
        <w:t>Исполнитель передает Получателю Изделие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Изделия.</w:t>
      </w:r>
    </w:p>
    <w:p w:rsidR="00F64D8E" w:rsidRPr="00F64D8E" w:rsidRDefault="00F64D8E" w:rsidP="00F64D8E">
      <w:pPr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</w:rPr>
        <w:t xml:space="preserve">5.2. </w:t>
      </w:r>
      <w:r w:rsidRPr="00F64D8E">
        <w:rPr>
          <w:rFonts w:eastAsia="Times New Roman"/>
          <w:color w:val="000000" w:themeColor="text1"/>
        </w:rPr>
        <w:t>Исполнитель вправе организовать пункт приема Получателя в срок не позднее 1 (одного) рабочего дня с даты заключения государственного контракта, пункт должен действовать до конца выдачи Изделия, согласно условиям технического задания. В случае организации нескольких пунктов приема Получателей они должны быть организованы в различных районах Санкт-Петербурга.</w:t>
      </w:r>
    </w:p>
    <w:p w:rsidR="00F64D8E" w:rsidRPr="00F64D8E" w:rsidRDefault="00F64D8E" w:rsidP="00F64D8E">
      <w:pPr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  <w:color w:val="000000" w:themeColor="text1"/>
        </w:rPr>
        <w:t>В случае выбора Получателя обеспечения через пункт приема Получателей Исполнитель обязан взять письменное согласие Получателя на получение Изделия через пункт приема Получателей.</w:t>
      </w:r>
    </w:p>
    <w:p w:rsidR="00F64D8E" w:rsidRPr="00F64D8E" w:rsidRDefault="00F64D8E" w:rsidP="00F64D8E">
      <w:pPr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  <w:color w:val="000000" w:themeColor="text1"/>
        </w:rPr>
        <w:t>Не позднее 1 (одного) дня с даты заключения контракта Исполнитель должен предоставить Заказчику информацию об адресе пункта (пунктов) приема Получателя, графике работы пункта (пунктов), контактном телефоне.</w:t>
      </w:r>
    </w:p>
    <w:p w:rsidR="00F64D8E" w:rsidRPr="00F64D8E" w:rsidRDefault="00F64D8E" w:rsidP="00F64D8E">
      <w:pPr>
        <w:ind w:right="-23"/>
        <w:jc w:val="both"/>
        <w:rPr>
          <w:rFonts w:eastAsia="Times New Roman"/>
        </w:rPr>
      </w:pPr>
      <w:r w:rsidRPr="00F64D8E">
        <w:rPr>
          <w:rFonts w:eastAsia="Times New Roman"/>
          <w:color w:val="000000" w:themeColor="text1"/>
        </w:rPr>
        <w:t>Не позднее 1 (одного) дня с даты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 Получателя,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color w:val="000000" w:themeColor="text1"/>
        </w:rPr>
      </w:pPr>
      <w:r w:rsidRPr="00F64D8E">
        <w:rPr>
          <w:rFonts w:eastAsia="Times New Roman"/>
          <w:color w:val="000000"/>
        </w:rPr>
        <w:t xml:space="preserve">5.3. </w:t>
      </w:r>
      <w:r w:rsidRPr="00F64D8E">
        <w:rPr>
          <w:rFonts w:eastAsia="Times New Roman"/>
          <w:color w:val="000000" w:themeColor="text1"/>
        </w:rPr>
        <w:t xml:space="preserve">В случае организации пункта приема Получателей, Исполнитель обязан предоставить доступное для людей с ограниченными возможностями (Получателям) помещение под размещение пункта (пунктов) приема получателей в соответствии со статьей 15 Федерального закона от 24.11.1995 № 181-ФЗ «О социальной защите инвалидов в Российской Федерации». 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Вход в каждый пункт (пункты)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в пункт (пункты) приема и передвижение по ним должны быть беспрепятственны для инвалидов (в случае необходимости, пункты приема должны быть оборудованы пандусами для облегчения передвижения инвалидов и соответствовать требованиям СП 59.13330.2020 «Свод правил. Доступность зданий и сооружений для маломобильных групп населения. СНиП 35-01-2001». Исполнителем должна быть обеспечена возможность самостоятельного передвижения инвалидов по территории пункта (</w:t>
      </w:r>
      <w:r w:rsidRPr="00F64D8E">
        <w:rPr>
          <w:rFonts w:eastAsia="Times New Roman"/>
          <w:lang w:eastAsia="ar-SA"/>
        </w:rPr>
        <w:t>пунктов) приема</w:t>
      </w:r>
      <w:r w:rsidRPr="00F64D8E">
        <w:rPr>
          <w:rFonts w:eastAsia="Times New Roman"/>
        </w:rPr>
        <w:t>, в том числе с помощью его работников, а также сменного кресла-коляски.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  <w:b/>
        </w:rPr>
        <w:t>Входная группа</w:t>
      </w:r>
      <w:r w:rsidRPr="00F64D8E">
        <w:rPr>
          <w:rFonts w:eastAsia="Times New Roman"/>
        </w:rPr>
        <w:t xml:space="preserve"> 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При перепадах высот Исполнитель должен учитывать наличие следующих элементов: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Пандус с поручнями;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(в соответствии с п. 5.1.14 – п. 5.1.16; п. 6.1.2 – п. 6.1.4; п. 6.2.9 – п. 6.2.11 СП 59.13330.2020);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lastRenderedPageBreak/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Лестница с поручнями;</w:t>
      </w:r>
    </w:p>
    <w:p w:rsidR="00F64D8E" w:rsidRPr="00F64D8E" w:rsidRDefault="00F64D8E" w:rsidP="00F64D8E">
      <w:pPr>
        <w:autoSpaceDE w:val="0"/>
        <w:autoSpaceDN w:val="0"/>
        <w:adjustRightInd w:val="0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Применение для Получателей вместо пандусов аппарелей не допускается на объекте (в соответствии с п. 6.1.2 СП 59.13330.2020).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color w:val="000000"/>
        </w:rPr>
      </w:pPr>
      <w:r w:rsidRPr="00F64D8E">
        <w:rPr>
          <w:rFonts w:eastAsia="Times New Roman"/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</w:t>
      </w:r>
      <w:r w:rsidRPr="00F64D8E">
        <w:rPr>
          <w:rFonts w:eastAsia="Times New Roman"/>
        </w:rPr>
        <w:t xml:space="preserve">в соответствии с </w:t>
      </w:r>
      <w:r w:rsidRPr="00F64D8E">
        <w:rPr>
          <w:rFonts w:eastAsia="Times New Roman"/>
          <w:color w:val="000000"/>
        </w:rPr>
        <w:t>п.6.1.5, п. 6.1.6, п.6.2.4 СП 59.13330.2020)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Тактильно-контрастные указатели;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b/>
        </w:rPr>
      </w:pPr>
      <w:r w:rsidRPr="00F64D8E">
        <w:rPr>
          <w:rFonts w:eastAsia="Times New Roman"/>
          <w:b/>
        </w:rPr>
        <w:t>Пути движения внутри пункта (пунктов) приема Получателей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При перепадах высот Исполнитель должен учитывать наличие следующих элементов: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- Лифт, подъемная платформа, эскалатор 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b/>
        </w:rPr>
      </w:pPr>
      <w:r w:rsidRPr="00F64D8E">
        <w:rPr>
          <w:rFonts w:eastAsia="Times New Roman"/>
        </w:rPr>
        <w:t>(в соответствии с п. 6.2.13 – п. 6.2.18 СП 59.13330.2020).</w:t>
      </w:r>
      <w:r w:rsidRPr="00F64D8E">
        <w:rPr>
          <w:rFonts w:eastAsia="Times New Roman"/>
          <w:b/>
        </w:rPr>
        <w:t xml:space="preserve"> 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Лифт должен иметь габариты не менее 1100х1400 мм (ширина х глубина).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b/>
        </w:rPr>
      </w:pPr>
      <w:r w:rsidRPr="00F64D8E">
        <w:rPr>
          <w:rFonts w:eastAsia="Times New Roman"/>
        </w:rPr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 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Помещение пункта (пунктов)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- </w:t>
      </w:r>
      <w:proofErr w:type="gramStart"/>
      <w:r w:rsidRPr="00F64D8E">
        <w:rPr>
          <w:rFonts w:eastAsia="Times New Roman"/>
        </w:rPr>
        <w:t>В</w:t>
      </w:r>
      <w:proofErr w:type="gramEnd"/>
      <w:r w:rsidRPr="00F64D8E">
        <w:rPr>
          <w:rFonts w:eastAsia="Times New Roman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F64D8E" w:rsidRPr="00F64D8E" w:rsidRDefault="00F64D8E" w:rsidP="00F64D8E">
      <w:pPr>
        <w:suppressAutoHyphens/>
        <w:jc w:val="both"/>
        <w:rPr>
          <w:rFonts w:eastAsia="Times New Roman"/>
          <w:b/>
        </w:rPr>
      </w:pPr>
      <w:r w:rsidRPr="00F64D8E">
        <w:rPr>
          <w:rFonts w:eastAsia="Times New Roman"/>
          <w:b/>
        </w:rPr>
        <w:t>Пути эвакуации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В случае невозможности соблюдения положений </w:t>
      </w:r>
      <w:r w:rsidRPr="00F64D8E">
        <w:rPr>
          <w:rFonts w:eastAsia="Times New Roman"/>
          <w:shd w:val="clear" w:color="auto" w:fill="FFFFFF"/>
        </w:rPr>
        <w:t xml:space="preserve">ч.15 ст.89 </w:t>
      </w:r>
      <w:hyperlink r:id="rId8" w:history="1">
        <w:r w:rsidRPr="00F64D8E">
          <w:rPr>
            <w:rFonts w:eastAsia="Times New Roman"/>
            <w:color w:val="0000FF"/>
            <w:spacing w:val="2"/>
            <w:u w:val="single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F64D8E">
        <w:rPr>
          <w:rFonts w:eastAsia="Times New Roman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Пути эвакуации помещений пункта (пунктов)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должны обеспечивать безопасность посетителей в соответствии с п.6.2.19-п.6.2.32 СП 59.13330.2020.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Обеспечить систему двухсторонней связи с диспетчером или дежурным (в соответствии с п. 6.5.8 СП 59.13330.2020).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5.4. На территории пункта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должны иметься туалетные комнаты, оборудованные для посещения Получателями в соответствии с п. 5.22. </w:t>
      </w:r>
      <w:r w:rsidRPr="00F64D8E">
        <w:rPr>
          <w:rFonts w:eastAsia="Times New Roman"/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F64D8E">
        <w:rPr>
          <w:rFonts w:eastAsia="Times New Roman"/>
        </w:rPr>
        <w:t xml:space="preserve">, со свободным доступом Получателей. При чем не менее 1 (одной) оборудованной для посещения Получателями в соответствии с п. 6.3.3, 6.3.6, </w:t>
      </w:r>
      <w:r w:rsidRPr="00F64D8E">
        <w:rPr>
          <w:rFonts w:eastAsia="Times New Roman"/>
          <w:spacing w:val="2"/>
          <w:shd w:val="clear" w:color="auto" w:fill="FFFFFF"/>
        </w:rPr>
        <w:t>6.3.9</w:t>
      </w:r>
      <w:r w:rsidRPr="00F64D8E">
        <w:rPr>
          <w:rFonts w:eastAsia="Times New Roman"/>
        </w:rPr>
        <w:t xml:space="preserve"> </w:t>
      </w:r>
      <w:hyperlink r:id="rId9" w:history="1">
        <w:r w:rsidRPr="00F64D8E">
          <w:rPr>
            <w:rFonts w:eastAsia="Times New Roman"/>
          </w:rPr>
          <w:t>СП 59.13330.2020 «Доступность зданий и сооружений для маломобильных групп населения»</w:t>
        </w:r>
      </w:hyperlink>
      <w:r w:rsidRPr="00F64D8E">
        <w:rPr>
          <w:rFonts w:eastAsia="Times New Roman"/>
        </w:rPr>
        <w:t>.</w:t>
      </w:r>
    </w:p>
    <w:p w:rsidR="00F64D8E" w:rsidRPr="00F64D8E" w:rsidRDefault="00F64D8E" w:rsidP="00F64D8E">
      <w:pPr>
        <w:jc w:val="both"/>
        <w:rPr>
          <w:rFonts w:eastAsia="Times New Roman"/>
          <w:lang w:eastAsia="en-US"/>
        </w:rPr>
      </w:pPr>
      <w:r w:rsidRPr="00F64D8E">
        <w:rPr>
          <w:rFonts w:eastAsia="Times New Roman"/>
        </w:rPr>
        <w:t>5.5. Пункты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должны иметь отдельный вход с улицы, зону ожидания Получателей, оборудованную системой «электронной очереди» и мебелью для ожидания в </w:t>
      </w:r>
      <w:r w:rsidRPr="00F64D8E">
        <w:rPr>
          <w:rFonts w:eastAsia="Times New Roman"/>
        </w:rPr>
        <w:lastRenderedPageBreak/>
        <w:t>сидячем положении.</w:t>
      </w:r>
      <w:r w:rsidRPr="00F64D8E">
        <w:rPr>
          <w:rFonts w:eastAsia="Times New Roman"/>
          <w:lang w:eastAsia="en-US"/>
        </w:rPr>
        <w:t xml:space="preserve"> </w:t>
      </w:r>
      <w:r w:rsidRPr="00F64D8E">
        <w:rPr>
          <w:rFonts w:eastAsia="Times New Roman"/>
        </w:rPr>
        <w:t>Максимальное время ожидания Получателей в очереди не должно превышать 15 минут. В случае если загруженность пункта (пунктов)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не позволяет обеспечить достижение указанного показателя, Исполнителем оборудуются дополнительные окна обслуживания. 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F64D8E">
        <w:rPr>
          <w:rFonts w:eastAsia="Times New Roman"/>
          <w:lang w:eastAsia="ar-SA"/>
        </w:rPr>
        <w:t xml:space="preserve">пункта </w:t>
      </w:r>
      <w:r w:rsidRPr="00F64D8E">
        <w:rPr>
          <w:rFonts w:eastAsia="Times New Roman"/>
        </w:rPr>
        <w:t>(пунктов)</w:t>
      </w:r>
      <w:r w:rsidRPr="00F64D8E">
        <w:rPr>
          <w:rFonts w:eastAsia="Times New Roman"/>
          <w:lang w:eastAsia="ar-SA"/>
        </w:rPr>
        <w:t xml:space="preserve">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F64D8E" w:rsidRPr="00F64D8E" w:rsidRDefault="00F64D8E" w:rsidP="00F64D8E">
      <w:pPr>
        <w:autoSpaceDE w:val="0"/>
        <w:autoSpaceDN w:val="0"/>
        <w:adjustRightInd w:val="0"/>
        <w:jc w:val="both"/>
        <w:rPr>
          <w:rFonts w:eastAsia="Times New Roman"/>
        </w:rPr>
      </w:pPr>
      <w:r w:rsidRPr="00F64D8E">
        <w:rPr>
          <w:rFonts w:eastAsia="Times New Roman"/>
        </w:rPr>
        <w:t>5.7. Изделие должно находиться на складе пункта (пунктов)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>, обеспечивающем его надлежащее хранение. Изделие не должно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5.8. Пункт (пункты)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должны иметь следующие условия доступности в соответствии с Приказом Министерства труда и социальной защиты РФ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>- возможность беспрепятственного входа в объекты и выхода из них;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64D8E">
        <w:rPr>
          <w:rFonts w:eastAsia="Times New Roman"/>
        </w:rPr>
        <w:t>ассистивных</w:t>
      </w:r>
      <w:proofErr w:type="spellEnd"/>
      <w:r w:rsidRPr="00F64D8E">
        <w:rPr>
          <w:rFonts w:eastAsia="Times New Roman"/>
        </w:rPr>
        <w:t xml:space="preserve"> и вспомогательных технологий, а также сменного кресла-коляски;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>- содействие Получателю при входе в объект и выходе из него, информирование Получателя о доступных маршрутах общественного транспорта;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>- надлежащее размещение носителей информации, необходимой для обеспечения беспрепятственного доступа Получателя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64D8E" w:rsidRPr="00F64D8E" w:rsidRDefault="00F64D8E" w:rsidP="00F64D8E">
      <w:pPr>
        <w:widowControl w:val="0"/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F64D8E">
          <w:rPr>
            <w:rFonts w:eastAsia="Times New Roman"/>
          </w:rPr>
          <w:t>форме</w:t>
        </w:r>
      </w:hyperlink>
      <w:r w:rsidRPr="00F64D8E">
        <w:rPr>
          <w:rFonts w:eastAsia="Times New Roman"/>
        </w:rPr>
        <w:t xml:space="preserve"> и в </w:t>
      </w:r>
      <w:hyperlink r:id="rId11" w:anchor="block_2000" w:history="1">
        <w:r w:rsidRPr="00F64D8E">
          <w:rPr>
            <w:rFonts w:eastAsia="Times New Roman"/>
          </w:rPr>
          <w:t>порядке</w:t>
        </w:r>
      </w:hyperlink>
      <w:r w:rsidRPr="00F64D8E">
        <w:rPr>
          <w:rFonts w:eastAsia="Times New Roman"/>
        </w:rPr>
        <w:t xml:space="preserve">, утвержденных </w:t>
      </w:r>
      <w:hyperlink r:id="rId12" w:history="1">
        <w:r w:rsidRPr="00F64D8E">
          <w:rPr>
            <w:rFonts w:eastAsia="Times New Roman"/>
          </w:rPr>
          <w:t>приказом</w:t>
        </w:r>
      </w:hyperlink>
      <w:r w:rsidRPr="00F64D8E">
        <w:rPr>
          <w:rFonts w:eastAsia="Times New Roman"/>
        </w:rPr>
        <w:t xml:space="preserve"> Министерства труда и социальной защиты Российской Федерации от 22 июня 2015 года № 386 н (зарегистрирован Министерством юстиции Российской Федерации 21 июля 2015 года, регистрационный № 38115).</w:t>
      </w:r>
    </w:p>
    <w:p w:rsidR="00F64D8E" w:rsidRPr="00F64D8E" w:rsidRDefault="00F64D8E" w:rsidP="00F64D8E">
      <w:pPr>
        <w:widowControl w:val="0"/>
        <w:jc w:val="both"/>
      </w:pPr>
      <w:r w:rsidRPr="00F64D8E">
        <w:t>5.9.</w:t>
      </w:r>
      <w:r w:rsidRPr="00F64D8E">
        <w:rPr>
          <w:rFonts w:eastAsia="Times New Roman"/>
        </w:rPr>
        <w:t>Пункты должны обеспечивать прием Получателей не менее 6 (шести) дней в неделю, не менее 40 часов в неделю, при этом, время работы пункта (пунктов) приема</w:t>
      </w:r>
      <w:r w:rsidRPr="00F64D8E">
        <w:rPr>
          <w:rFonts w:ascii="Times New Roman CYR" w:eastAsia="Times New Roman" w:hAnsi="Times New Roman CYR" w:cs="Times New Roman CYR"/>
        </w:rPr>
        <w:t xml:space="preserve"> Получателей</w:t>
      </w:r>
      <w:r w:rsidRPr="00F64D8E">
        <w:rPr>
          <w:rFonts w:eastAsia="Times New Roman"/>
        </w:rPr>
        <w:t xml:space="preserve"> должно попадать в интервал с 08:00 до 22:00.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6. В случае выбора Получателем способа получения Изделия путем передачи Изделия по месту нахождения Получателя, такая доставка осуществляется Исполнителем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дня с даты заключения контракта. Доставка осуществляется за счет средств Исполнителя.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Исполнитель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F64D8E" w:rsidRPr="00F64D8E" w:rsidRDefault="00F64D8E" w:rsidP="00F64D8E">
      <w:pPr>
        <w:suppressAutoHyphens/>
        <w:jc w:val="both"/>
        <w:rPr>
          <w:rFonts w:eastAsia="Times New Roman"/>
        </w:rPr>
      </w:pPr>
      <w:r w:rsidRPr="00F64D8E">
        <w:rPr>
          <w:rFonts w:eastAsia="Times New Roman"/>
        </w:rPr>
        <w:t>6.1. Выполнять работы по изготовлению Изделия по индивидуальным размерам Получателя, выдачу Изделия, обучение пользованию Изделием в срок не более 60 (шестидесяти) календарных дней со дня обращения Получателя.</w:t>
      </w:r>
    </w:p>
    <w:p w:rsidR="00F64D8E" w:rsidRPr="00F64D8E" w:rsidRDefault="00F64D8E" w:rsidP="00F64D8E">
      <w:pPr>
        <w:jc w:val="both"/>
        <w:rPr>
          <w:rFonts w:eastAsia="Times New Roman"/>
        </w:rPr>
      </w:pPr>
      <w:r w:rsidRPr="00F64D8E">
        <w:rPr>
          <w:rFonts w:eastAsia="Times New Roman"/>
        </w:rPr>
        <w:t xml:space="preserve">6.2. С целью подтверждения соответствия изготовленного Изделия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Изделия и соответствия пункта (пунктов) приема требованиям Технического задания. При проведении проверки Заказчик вправе осуществлять </w:t>
      </w:r>
      <w:proofErr w:type="spellStart"/>
      <w:r w:rsidRPr="00F64D8E">
        <w:rPr>
          <w:rFonts w:eastAsia="Times New Roman"/>
        </w:rPr>
        <w:t>фотофиксацию</w:t>
      </w:r>
      <w:proofErr w:type="spellEnd"/>
      <w:r w:rsidRPr="00F64D8E">
        <w:rPr>
          <w:rFonts w:eastAsia="Times New Roman"/>
        </w:rPr>
        <w:t xml:space="preserve"> и/или видеозапись.</w:t>
      </w:r>
    </w:p>
    <w:p w:rsidR="00F64D8E" w:rsidRPr="00F64D8E" w:rsidRDefault="00F64D8E" w:rsidP="00F64D8E">
      <w:pPr>
        <w:jc w:val="both"/>
        <w:rPr>
          <w:rFonts w:eastAsia="Times New Roman"/>
          <w:bCs/>
          <w:kern w:val="36"/>
          <w:sz w:val="26"/>
          <w:szCs w:val="26"/>
        </w:rPr>
      </w:pPr>
      <w:r w:rsidRPr="00F64D8E">
        <w:rPr>
          <w:rFonts w:eastAsia="Times New Roman"/>
        </w:rPr>
        <w:lastRenderedPageBreak/>
        <w:t xml:space="preserve">6.3. В случаях отказа от Изделия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r w:rsidRPr="00F64D8E">
          <w:rPr>
            <w:rFonts w:eastAsia="Times New Roman"/>
            <w:color w:val="0563C1" w:themeColor="hyperlink"/>
            <w:u w:val="single"/>
          </w:rPr>
          <w:t>osp@ro78.fss.ru</w:t>
        </w:r>
      </w:hyperlink>
      <w:r w:rsidRPr="00F64D8E">
        <w:rPr>
          <w:rFonts w:eastAsia="Times New Roman"/>
        </w:rPr>
        <w:t xml:space="preserve">, </w:t>
      </w:r>
      <w:hyperlink r:id="rId14" w:history="1">
        <w:r w:rsidRPr="00F64D8E">
          <w:rPr>
            <w:rFonts w:eastAsia="Times New Roman"/>
            <w:color w:val="0563C1" w:themeColor="hyperlink"/>
            <w:u w:val="single"/>
          </w:rPr>
          <w:t>tsrfil31@ro78.fss.ru</w:t>
        </w:r>
      </w:hyperlink>
      <w:r w:rsidRPr="00F64D8E">
        <w:rPr>
          <w:rFonts w:eastAsia="Times New Roman"/>
        </w:rPr>
        <w:t>.</w:t>
      </w:r>
    </w:p>
    <w:p w:rsidR="00F64D8E" w:rsidRPr="00F64D8E" w:rsidRDefault="00F64D8E" w:rsidP="00F64D8E">
      <w:pPr>
        <w:rPr>
          <w:rFonts w:eastAsia="Times New Roman"/>
        </w:rPr>
      </w:pPr>
    </w:p>
    <w:p w:rsidR="00F64D8E" w:rsidRDefault="00F64D8E" w:rsidP="00125D9F">
      <w:pPr>
        <w:jc w:val="center"/>
      </w:pPr>
      <w:bookmarkStart w:id="0" w:name="_GoBack"/>
      <w:bookmarkEnd w:id="0"/>
    </w:p>
    <w:sectPr w:rsidR="00F64D8E" w:rsidSect="00331E20">
      <w:pgSz w:w="11906" w:h="16838"/>
      <w:pgMar w:top="680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38"/>
    <w:multiLevelType w:val="hybridMultilevel"/>
    <w:tmpl w:val="B6DA6BBA"/>
    <w:lvl w:ilvl="0" w:tplc="33D49D34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84B6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A00F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3441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58FF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7C526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6A8D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9657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602A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063A4"/>
    <w:multiLevelType w:val="hybridMultilevel"/>
    <w:tmpl w:val="D1B6CD50"/>
    <w:lvl w:ilvl="0" w:tplc="276CE7A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126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324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681C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0EDF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B852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9C7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781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9C5C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922E6"/>
    <w:multiLevelType w:val="multilevel"/>
    <w:tmpl w:val="098C900C"/>
    <w:lvl w:ilvl="0">
      <w:start w:val="5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F132C0"/>
    <w:multiLevelType w:val="hybridMultilevel"/>
    <w:tmpl w:val="43F47B66"/>
    <w:lvl w:ilvl="0" w:tplc="752CA7F4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C46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C8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07B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C7F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2A3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099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EC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8A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EB2FDF"/>
    <w:multiLevelType w:val="multilevel"/>
    <w:tmpl w:val="7A8CA7B4"/>
    <w:lvl w:ilvl="0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8F50B2"/>
    <w:multiLevelType w:val="hybridMultilevel"/>
    <w:tmpl w:val="F6F47CE4"/>
    <w:lvl w:ilvl="0" w:tplc="A7D2D6AC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803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00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412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C02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A26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696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EA5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090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19296B"/>
    <w:multiLevelType w:val="multilevel"/>
    <w:tmpl w:val="4C2A7C7C"/>
    <w:lvl w:ilvl="0">
      <w:start w:val="4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71401"/>
    <w:multiLevelType w:val="hybridMultilevel"/>
    <w:tmpl w:val="7F509470"/>
    <w:lvl w:ilvl="0" w:tplc="BA421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F3F4C"/>
    <w:multiLevelType w:val="multilevel"/>
    <w:tmpl w:val="2CC86F3C"/>
    <w:lvl w:ilvl="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396E78"/>
    <w:multiLevelType w:val="hybridMultilevel"/>
    <w:tmpl w:val="6EEE21CA"/>
    <w:lvl w:ilvl="0" w:tplc="1D688AF6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A0606E"/>
    <w:multiLevelType w:val="hybridMultilevel"/>
    <w:tmpl w:val="0D0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E5B48"/>
    <w:multiLevelType w:val="hybridMultilevel"/>
    <w:tmpl w:val="A3E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C600D"/>
    <w:multiLevelType w:val="hybridMultilevel"/>
    <w:tmpl w:val="1A5CB3FC"/>
    <w:lvl w:ilvl="0" w:tplc="5636ED36">
      <w:start w:val="4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81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E4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89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64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C7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2C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AF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C3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2AC604C"/>
    <w:multiLevelType w:val="multilevel"/>
    <w:tmpl w:val="100AD12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B74F76"/>
    <w:multiLevelType w:val="hybridMultilevel"/>
    <w:tmpl w:val="687AA3DE"/>
    <w:lvl w:ilvl="0" w:tplc="188E42BE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6D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7F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10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F3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213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0E8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4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E30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59D758A"/>
    <w:multiLevelType w:val="hybridMultilevel"/>
    <w:tmpl w:val="24648732"/>
    <w:lvl w:ilvl="0" w:tplc="F58C81C0">
      <w:start w:val="1"/>
      <w:numFmt w:val="bullet"/>
      <w:pStyle w:val="Normal1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A1C6A"/>
    <w:multiLevelType w:val="hybridMultilevel"/>
    <w:tmpl w:val="849CE86C"/>
    <w:lvl w:ilvl="0" w:tplc="F6466ED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9604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EEB0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C6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8233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14F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D847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586B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D26D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380885"/>
    <w:multiLevelType w:val="hybridMultilevel"/>
    <w:tmpl w:val="FFD2A4D2"/>
    <w:lvl w:ilvl="0" w:tplc="AA5E80F8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A75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065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2A1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02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E3D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4FC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013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2B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8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B"/>
    <w:rsid w:val="00125D9F"/>
    <w:rsid w:val="00331E20"/>
    <w:rsid w:val="003B45D5"/>
    <w:rsid w:val="00512E48"/>
    <w:rsid w:val="005A1709"/>
    <w:rsid w:val="00A3645A"/>
    <w:rsid w:val="00B76453"/>
    <w:rsid w:val="00BB669B"/>
    <w:rsid w:val="00D64421"/>
    <w:rsid w:val="00F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A044-E837-454F-9F79-B71E7A89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25D9F"/>
    <w:pPr>
      <w:keepNext/>
      <w:keepLines/>
      <w:spacing w:after="0"/>
      <w:ind w:left="5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B669B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3">
    <w:name w:val="Hyperlink"/>
    <w:uiPriority w:val="99"/>
    <w:rsid w:val="00B76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4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5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D9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Web">
    <w:name w:val="Обычный (Web)"/>
    <w:basedOn w:val="a"/>
    <w:uiPriority w:val="99"/>
    <w:rsid w:val="00125D9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6">
    <w:name w:val="header"/>
    <w:basedOn w:val="a"/>
    <w:link w:val="a7"/>
    <w:uiPriority w:val="99"/>
    <w:unhideWhenUsed/>
    <w:rsid w:val="00125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5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Базовый"/>
    <w:uiPriority w:val="99"/>
    <w:rsid w:val="00125D9F"/>
    <w:pPr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rsid w:val="00125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5D9F"/>
    <w:rPr>
      <w:rFonts w:ascii="Courier New" w:eastAsia="Calibri" w:hAnsi="Courier New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D9F"/>
  </w:style>
  <w:style w:type="character" w:customStyle="1" w:styleId="14">
    <w:name w:val="Стиль 14 пт"/>
    <w:rsid w:val="00125D9F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125D9F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39"/>
    <w:rsid w:val="00125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1"/>
    <w:basedOn w:val="a"/>
    <w:link w:val="ae"/>
    <w:rsid w:val="00125D9F"/>
    <w:pPr>
      <w:spacing w:before="100" w:after="119"/>
    </w:pPr>
    <w:rPr>
      <w:lang w:eastAsia="ar-SA"/>
    </w:rPr>
  </w:style>
  <w:style w:type="character" w:customStyle="1" w:styleId="ae">
    <w:name w:val="Обычный (веб) Знак"/>
    <w:aliases w:val="Обычный (Web)1 Знак"/>
    <w:link w:val="ad"/>
    <w:locked/>
    <w:rsid w:val="00125D9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2">
    <w:name w:val="Font Style32"/>
    <w:rsid w:val="00125D9F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semiHidden/>
    <w:rsid w:val="00125D9F"/>
    <w:pPr>
      <w:ind w:firstLine="144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12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uiPriority w:val="99"/>
    <w:rsid w:val="00125D9F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uiPriority w:val="99"/>
    <w:semiHidden/>
    <w:rsid w:val="00125D9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f"/>
    <w:uiPriority w:val="99"/>
    <w:locked/>
    <w:rsid w:val="00125D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125D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osp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hyperlink" Target="mailto:tsrfil31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Рита Александровна</dc:creator>
  <cp:keywords/>
  <dc:description/>
  <cp:lastModifiedBy>Чиченкова Наталья Ипполитовна</cp:lastModifiedBy>
  <cp:revision>7</cp:revision>
  <cp:lastPrinted>2022-03-04T06:30:00Z</cp:lastPrinted>
  <dcterms:created xsi:type="dcterms:W3CDTF">2022-04-29T08:31:00Z</dcterms:created>
  <dcterms:modified xsi:type="dcterms:W3CDTF">2022-07-11T14:17:00Z</dcterms:modified>
</cp:coreProperties>
</file>