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88" w:rsidRDefault="00411288" w:rsidP="00411288">
      <w:pPr>
        <w:widowControl w:val="0"/>
        <w:jc w:val="center"/>
        <w:rPr>
          <w:bCs/>
          <w:lang w:eastAsia="zh-CN"/>
        </w:rPr>
      </w:pPr>
      <w:r w:rsidRPr="004F5BB8">
        <w:rPr>
          <w:bCs/>
          <w:lang w:eastAsia="zh-CN"/>
        </w:rPr>
        <w:t xml:space="preserve">Техническое задание на </w:t>
      </w:r>
      <w:r w:rsidRPr="00827ABB">
        <w:rPr>
          <w:bCs/>
          <w:lang w:eastAsia="zh-CN"/>
        </w:rPr>
        <w:t xml:space="preserve">выполнение работ для обеспечения инвалидов и отдельных категорий граждан из числа ветеранов протезами </w:t>
      </w:r>
      <w:r>
        <w:rPr>
          <w:bCs/>
          <w:lang w:eastAsia="zh-CN"/>
        </w:rPr>
        <w:t>голени</w:t>
      </w:r>
    </w:p>
    <w:p w:rsidR="00411288" w:rsidRDefault="00411288" w:rsidP="00411288">
      <w:pPr>
        <w:widowControl w:val="0"/>
        <w:jc w:val="center"/>
        <w:rPr>
          <w:bCs/>
          <w:lang w:eastAsia="zh-CN"/>
        </w:rPr>
      </w:pPr>
    </w:p>
    <w:tbl>
      <w:tblPr>
        <w:tblW w:w="1522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192"/>
        <w:gridCol w:w="1559"/>
        <w:gridCol w:w="4111"/>
        <w:gridCol w:w="7229"/>
        <w:gridCol w:w="709"/>
      </w:tblGrid>
      <w:tr w:rsidR="00411288" w:rsidRPr="007D20FB" w:rsidTr="00DC69E0">
        <w:trPr>
          <w:trHeight w:val="400"/>
        </w:trPr>
        <w:tc>
          <w:tcPr>
            <w:tcW w:w="426" w:type="dxa"/>
            <w:tcMar>
              <w:top w:w="55" w:type="dxa"/>
              <w:left w:w="55" w:type="dxa"/>
              <w:bottom w:w="55" w:type="dxa"/>
              <w:right w:w="55" w:type="dxa"/>
            </w:tcMar>
            <w:vAlign w:val="center"/>
          </w:tcPr>
          <w:p w:rsidR="00411288" w:rsidRPr="007D20FB" w:rsidRDefault="00411288" w:rsidP="00DC69E0">
            <w:pPr>
              <w:tabs>
                <w:tab w:val="left" w:pos="6600"/>
              </w:tabs>
              <w:contextualSpacing/>
              <w:jc w:val="center"/>
              <w:rPr>
                <w:bCs/>
                <w:sz w:val="20"/>
                <w:szCs w:val="20"/>
                <w:lang w:eastAsia="zh-CN"/>
              </w:rPr>
            </w:pPr>
            <w:r w:rsidRPr="007D20FB">
              <w:rPr>
                <w:bCs/>
                <w:sz w:val="20"/>
                <w:szCs w:val="20"/>
                <w:lang w:eastAsia="zh-CN"/>
              </w:rPr>
              <w:t>№ п/п</w:t>
            </w:r>
          </w:p>
        </w:tc>
        <w:tc>
          <w:tcPr>
            <w:tcW w:w="2751" w:type="dxa"/>
            <w:gridSpan w:val="2"/>
            <w:tcBorders>
              <w:right w:val="single" w:sz="4" w:space="0" w:color="auto"/>
            </w:tcBorders>
            <w:tcMar>
              <w:top w:w="55" w:type="dxa"/>
              <w:left w:w="55" w:type="dxa"/>
              <w:bottom w:w="55" w:type="dxa"/>
              <w:right w:w="55" w:type="dxa"/>
            </w:tcMar>
            <w:vAlign w:val="center"/>
          </w:tcPr>
          <w:p w:rsidR="00411288" w:rsidRPr="007D20FB" w:rsidRDefault="00411288" w:rsidP="00DC69E0">
            <w:pPr>
              <w:tabs>
                <w:tab w:val="left" w:pos="6600"/>
              </w:tabs>
              <w:contextualSpacing/>
              <w:jc w:val="center"/>
              <w:rPr>
                <w:bCs/>
                <w:sz w:val="20"/>
                <w:szCs w:val="20"/>
                <w:lang w:eastAsia="zh-CN"/>
              </w:rPr>
            </w:pPr>
            <w:r w:rsidRPr="007D20FB">
              <w:rPr>
                <w:bCs/>
                <w:sz w:val="20"/>
                <w:szCs w:val="20"/>
                <w:lang w:eastAsia="zh-CN"/>
              </w:rPr>
              <w:t>Наименование товара (работы, услуги)</w:t>
            </w:r>
            <w:r w:rsidRPr="007D20FB">
              <w:rPr>
                <w:bCs/>
                <w:sz w:val="20"/>
                <w:szCs w:val="20"/>
                <w:vertAlign w:val="superscript"/>
                <w:lang w:eastAsia="zh-CN"/>
              </w:rPr>
              <w:footnoteReference w:id="1"/>
            </w:r>
          </w:p>
        </w:tc>
        <w:tc>
          <w:tcPr>
            <w:tcW w:w="11340" w:type="dxa"/>
            <w:gridSpan w:val="2"/>
            <w:tcBorders>
              <w:left w:val="single" w:sz="4" w:space="0" w:color="auto"/>
              <w:right w:val="single" w:sz="1" w:space="0" w:color="000000"/>
            </w:tcBorders>
            <w:vAlign w:val="center"/>
          </w:tcPr>
          <w:p w:rsidR="00411288" w:rsidRPr="007D20FB" w:rsidRDefault="00411288" w:rsidP="00DC69E0">
            <w:pPr>
              <w:suppressLineNumbers/>
              <w:snapToGrid w:val="0"/>
              <w:jc w:val="center"/>
              <w:rPr>
                <w:rFonts w:eastAsia="Andale Sans UI"/>
                <w:sz w:val="20"/>
                <w:szCs w:val="20"/>
                <w:lang w:eastAsia="zh-CN"/>
              </w:rPr>
            </w:pPr>
            <w:r w:rsidRPr="007D20FB">
              <w:rPr>
                <w:bCs/>
                <w:i/>
                <w:sz w:val="20"/>
                <w:szCs w:val="20"/>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7D20FB">
              <w:rPr>
                <w:bCs/>
                <w:i/>
                <w:sz w:val="20"/>
                <w:szCs w:val="20"/>
                <w:vertAlign w:val="superscript"/>
              </w:rPr>
              <w:footnoteReference w:id="2"/>
            </w:r>
          </w:p>
        </w:tc>
        <w:tc>
          <w:tcPr>
            <w:tcW w:w="709" w:type="dxa"/>
            <w:tcBorders>
              <w:top w:val="single" w:sz="1" w:space="0" w:color="000000"/>
              <w:left w:val="single" w:sz="1" w:space="0" w:color="000000"/>
            </w:tcBorders>
            <w:shd w:val="clear" w:color="auto" w:fill="auto"/>
            <w:tcMar>
              <w:top w:w="55" w:type="dxa"/>
              <w:left w:w="55" w:type="dxa"/>
              <w:bottom w:w="55" w:type="dxa"/>
              <w:right w:w="55" w:type="dxa"/>
            </w:tcMar>
            <w:vAlign w:val="center"/>
          </w:tcPr>
          <w:p w:rsidR="00411288" w:rsidRPr="007D20FB" w:rsidRDefault="00411288" w:rsidP="00DC69E0">
            <w:pPr>
              <w:suppressLineNumbers/>
              <w:snapToGrid w:val="0"/>
              <w:jc w:val="center"/>
              <w:rPr>
                <w:rFonts w:eastAsia="Andale Sans UI"/>
                <w:sz w:val="20"/>
                <w:szCs w:val="20"/>
                <w:lang w:eastAsia="zh-CN"/>
              </w:rPr>
            </w:pPr>
            <w:r w:rsidRPr="007D20FB">
              <w:rPr>
                <w:rFonts w:eastAsia="Andale Sans UI"/>
                <w:sz w:val="20"/>
                <w:szCs w:val="20"/>
                <w:lang w:eastAsia="zh-CN"/>
              </w:rPr>
              <w:t>Кол-во, (шт.)</w:t>
            </w:r>
          </w:p>
        </w:tc>
      </w:tr>
      <w:tr w:rsidR="00411288" w:rsidRPr="007D20FB" w:rsidTr="00DC69E0">
        <w:trPr>
          <w:trHeight w:val="213"/>
        </w:trPr>
        <w:tc>
          <w:tcPr>
            <w:tcW w:w="426" w:type="dxa"/>
            <w:tcMar>
              <w:top w:w="55" w:type="dxa"/>
              <w:left w:w="55" w:type="dxa"/>
              <w:bottom w:w="55" w:type="dxa"/>
              <w:right w:w="55" w:type="dxa"/>
            </w:tcMar>
            <w:vAlign w:val="center"/>
          </w:tcPr>
          <w:p w:rsidR="00411288" w:rsidRPr="007D20FB" w:rsidRDefault="00411288" w:rsidP="00DC69E0">
            <w:pPr>
              <w:tabs>
                <w:tab w:val="left" w:pos="6600"/>
              </w:tabs>
              <w:contextualSpacing/>
              <w:jc w:val="center"/>
              <w:rPr>
                <w:bCs/>
                <w:sz w:val="20"/>
                <w:szCs w:val="20"/>
                <w:lang w:eastAsia="zh-CN"/>
              </w:rPr>
            </w:pPr>
            <w:r w:rsidRPr="007D20FB">
              <w:rPr>
                <w:bCs/>
                <w:sz w:val="20"/>
                <w:szCs w:val="20"/>
                <w:lang w:eastAsia="zh-CN"/>
              </w:rPr>
              <w:t>1.</w:t>
            </w:r>
          </w:p>
        </w:tc>
        <w:tc>
          <w:tcPr>
            <w:tcW w:w="1192" w:type="dxa"/>
            <w:vMerge w:val="restart"/>
            <w:tcBorders>
              <w:right w:val="single" w:sz="4" w:space="0" w:color="auto"/>
            </w:tcBorders>
            <w:tcMar>
              <w:top w:w="55" w:type="dxa"/>
              <w:left w:w="55" w:type="dxa"/>
              <w:bottom w:w="55" w:type="dxa"/>
              <w:right w:w="55" w:type="dxa"/>
            </w:tcMar>
          </w:tcPr>
          <w:p w:rsidR="00411288" w:rsidRPr="007D20FB" w:rsidRDefault="00411288" w:rsidP="00DC69E0">
            <w:pPr>
              <w:tabs>
                <w:tab w:val="left" w:pos="6600"/>
              </w:tabs>
              <w:contextualSpacing/>
              <w:jc w:val="center"/>
              <w:rPr>
                <w:bCs/>
                <w:sz w:val="20"/>
                <w:szCs w:val="20"/>
                <w:lang w:eastAsia="zh-CN"/>
              </w:rPr>
            </w:pPr>
            <w:r w:rsidRPr="007D20FB">
              <w:rPr>
                <w:bCs/>
                <w:sz w:val="20"/>
                <w:szCs w:val="20"/>
                <w:lang w:eastAsia="zh-CN"/>
              </w:rPr>
              <w:t xml:space="preserve">Выполнение работ для обеспечения инвалидов и отдельных категорий граждан из числа ветеранов протезами </w:t>
            </w:r>
            <w:r>
              <w:rPr>
                <w:bCs/>
                <w:sz w:val="20"/>
                <w:szCs w:val="20"/>
                <w:lang w:eastAsia="zh-CN"/>
              </w:rPr>
              <w:t>голени</w:t>
            </w:r>
          </w:p>
        </w:tc>
        <w:tc>
          <w:tcPr>
            <w:tcW w:w="1559" w:type="dxa"/>
            <w:tcBorders>
              <w:right w:val="single" w:sz="4" w:space="0" w:color="auto"/>
            </w:tcBorders>
          </w:tcPr>
          <w:p w:rsidR="00411288" w:rsidRPr="007D20FB" w:rsidRDefault="00411288" w:rsidP="00DC69E0">
            <w:pPr>
              <w:tabs>
                <w:tab w:val="left" w:pos="6600"/>
              </w:tabs>
              <w:contextualSpacing/>
              <w:jc w:val="center"/>
              <w:rPr>
                <w:bCs/>
                <w:sz w:val="20"/>
                <w:szCs w:val="20"/>
                <w:lang w:eastAsia="zh-CN"/>
              </w:rPr>
            </w:pPr>
            <w:r w:rsidRPr="0077786B">
              <w:rPr>
                <w:sz w:val="20"/>
                <w:szCs w:val="20"/>
              </w:rPr>
              <w:t>Выполнение работ для обеспечения инвалидов и отдельных категорий граждан из числа ветеранов протезами голени модульными, в том числе при недоразвитии</w:t>
            </w:r>
          </w:p>
        </w:tc>
        <w:tc>
          <w:tcPr>
            <w:tcW w:w="4111" w:type="dxa"/>
            <w:tcBorders>
              <w:left w:val="single" w:sz="4" w:space="0" w:color="auto"/>
            </w:tcBorders>
          </w:tcPr>
          <w:p w:rsidR="00411288" w:rsidRPr="007D20FB" w:rsidRDefault="00411288" w:rsidP="00DC69E0">
            <w:pPr>
              <w:contextualSpacing/>
              <w:jc w:val="both"/>
              <w:rPr>
                <w:bCs/>
                <w:sz w:val="20"/>
                <w:szCs w:val="20"/>
                <w:lang w:eastAsia="zh-CN"/>
              </w:rPr>
            </w:pPr>
            <w:r w:rsidRPr="0077786B">
              <w:rPr>
                <w:bCs/>
                <w:sz w:val="20"/>
                <w:szCs w:val="20"/>
                <w:lang w:eastAsia="zh-CN"/>
              </w:rPr>
              <w:t xml:space="preserve">Протез голени модульный, косметическая оболочка мягкая полиуретановая (листовой поролон). Приемная гильза изготовлена по индивидуальному слепку с культи инвалида. Одна приемная гильза из кожи или слоистого пластика на основе акриловых смол, вкладная гильза из вспененного материала. Крепление поясное с использованием гильзы (манжеты с шинами) бедра,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w:t>
            </w:r>
            <w:proofErr w:type="spellStart"/>
            <w:r w:rsidRPr="0077786B">
              <w:rPr>
                <w:bCs/>
                <w:sz w:val="20"/>
                <w:szCs w:val="20"/>
                <w:lang w:eastAsia="zh-CN"/>
              </w:rPr>
              <w:t>бесшарнирная</w:t>
            </w:r>
            <w:proofErr w:type="spellEnd"/>
            <w:r w:rsidRPr="0077786B">
              <w:rPr>
                <w:bCs/>
                <w:sz w:val="20"/>
                <w:szCs w:val="20"/>
                <w:lang w:eastAsia="zh-CN"/>
              </w:rPr>
              <w:t>, полиуретановая, монолитная. Тип протеза: постоянный.</w:t>
            </w:r>
          </w:p>
        </w:tc>
        <w:tc>
          <w:tcPr>
            <w:tcW w:w="7229" w:type="dxa"/>
            <w:vMerge w:val="restart"/>
            <w:tcBorders>
              <w:left w:val="single" w:sz="1" w:space="0" w:color="000000"/>
              <w:right w:val="single" w:sz="1" w:space="0" w:color="000000"/>
            </w:tcBorders>
          </w:tcPr>
          <w:p w:rsidR="00411288" w:rsidRPr="0077786B" w:rsidRDefault="00411288" w:rsidP="00DC69E0">
            <w:pPr>
              <w:shd w:val="clear" w:color="auto" w:fill="FFFFFF"/>
              <w:autoSpaceDE w:val="0"/>
              <w:ind w:left="131" w:right="131"/>
              <w:jc w:val="center"/>
              <w:rPr>
                <w:rFonts w:eastAsia="Arial"/>
                <w:b/>
                <w:sz w:val="20"/>
                <w:szCs w:val="20"/>
              </w:rPr>
            </w:pPr>
            <w:r w:rsidRPr="0077786B">
              <w:rPr>
                <w:rFonts w:eastAsia="Arial"/>
                <w:b/>
                <w:sz w:val="20"/>
                <w:szCs w:val="20"/>
              </w:rPr>
              <w:t>Требования к техническим и функциональным характеристикам работ</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xml:space="preserve">В соответствии п. 1,2 ГОСТ Р 51819-2017 выполняемые работы по обеспечению инвалидов и отдельных категорий граждан из числа ветеранов </w:t>
            </w:r>
            <w:r w:rsidRPr="0077786B">
              <w:rPr>
                <w:i/>
                <w:sz w:val="20"/>
                <w:szCs w:val="20"/>
              </w:rPr>
              <w:t>протезами голени</w:t>
            </w:r>
            <w:r w:rsidRPr="0077786B">
              <w:rPr>
                <w:rFonts w:eastAsia="Arial"/>
                <w:sz w:val="20"/>
                <w:szCs w:val="20"/>
              </w:rPr>
              <w:t xml:space="preserve"> должны содержать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в целях восстановления или компенсации ограничений их жизнедеятельности.</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В соответствии п. 41 ГОСТ Р 51819-2017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человека с протезом конечности.</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В соответствии п. 44 ГОСТ Р 51819-2017 функциональный узел протеза конечности должен выполнять заданную функцию и иметь конструктивно-технологическую завершенность.</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xml:space="preserve">В соответствии с п.5.2.1 ГОСТ Р 53870-2021 работы должны включать в себя: </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оформление карты протезирования, заказа;</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изготовление изделия для примерки;</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примерку приемной гильзы;</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предварительную сборку протеза;</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примерку, установку, подгонку узлов, креплений;</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окончательную сборку и отделку протеза;</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xml:space="preserve">- обучение пользованию протезом, уходу за изделием и культей (недоразвитой конечностью) и выдачу готового изделия. </w:t>
            </w:r>
          </w:p>
          <w:p w:rsidR="00411288" w:rsidRPr="0077786B" w:rsidRDefault="00411288" w:rsidP="00DC69E0">
            <w:pPr>
              <w:shd w:val="clear" w:color="auto" w:fill="FFFFFF"/>
              <w:autoSpaceDE w:val="0"/>
              <w:ind w:left="131" w:right="131"/>
              <w:jc w:val="center"/>
              <w:rPr>
                <w:rFonts w:eastAsia="Arial"/>
                <w:b/>
                <w:sz w:val="20"/>
                <w:szCs w:val="20"/>
              </w:rPr>
            </w:pPr>
            <w:r w:rsidRPr="0077786B">
              <w:rPr>
                <w:rFonts w:eastAsia="Arial"/>
                <w:b/>
                <w:sz w:val="20"/>
                <w:szCs w:val="20"/>
              </w:rPr>
              <w:t>Требования к материалам</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lastRenderedPageBreak/>
              <w:t xml:space="preserve">В соответствии с разделом 9 ГОСТ Р 53869-2021 «Протезы нижних конечностей. Технические требования»: </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Материалы, применяемые при изготовлении протеза, должны соответствовать требованиям ГОСТ Р ИСО 22523, пункт 5.1.</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Р 52770, ГОСТ ISO 10993-1, ГОСТ ISO 10993-5, ГОСТ ISO 10993-10, ГОСТ ISO 10993-12 в части предъявляемых требований и характеристик.</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Термопластичные материалы приемных гильз протеза должны обеспечивать термическую и механическую подгонку (</w:t>
            </w:r>
            <w:proofErr w:type="spellStart"/>
            <w:r w:rsidRPr="0077786B">
              <w:rPr>
                <w:rFonts w:eastAsia="Arial"/>
                <w:sz w:val="20"/>
                <w:szCs w:val="20"/>
              </w:rPr>
              <w:t>подформовку</w:t>
            </w:r>
            <w:proofErr w:type="spellEnd"/>
            <w:r w:rsidRPr="0077786B">
              <w:rPr>
                <w:rFonts w:eastAsia="Arial"/>
                <w:sz w:val="20"/>
                <w:szCs w:val="20"/>
              </w:rPr>
              <w:t>).</w:t>
            </w:r>
          </w:p>
          <w:p w:rsidR="00411288" w:rsidRPr="007F5475" w:rsidRDefault="00411288" w:rsidP="00DC69E0">
            <w:pPr>
              <w:shd w:val="clear" w:color="auto" w:fill="FFFFFF"/>
              <w:autoSpaceDE w:val="0"/>
              <w:ind w:right="131" w:firstLine="131"/>
              <w:jc w:val="both"/>
              <w:rPr>
                <w:rFonts w:eastAsia="Arial"/>
                <w:color w:val="000000"/>
                <w:sz w:val="20"/>
                <w:szCs w:val="20"/>
              </w:rPr>
            </w:pPr>
            <w:r w:rsidRPr="0077786B">
              <w:rPr>
                <w:rFonts w:eastAsia="Arial"/>
                <w:sz w:val="20"/>
                <w:szCs w:val="20"/>
              </w:rPr>
              <w:t xml:space="preserve">- Материалы приемных гильз должны обеспечивать установку заклепочных </w:t>
            </w:r>
            <w:r w:rsidRPr="007F5475">
              <w:rPr>
                <w:rFonts w:eastAsia="Arial"/>
                <w:color w:val="000000"/>
                <w:sz w:val="20"/>
                <w:szCs w:val="20"/>
              </w:rPr>
              <w:t>соединений без образования растрескиваний и разрывов.</w:t>
            </w:r>
          </w:p>
          <w:p w:rsidR="00411288" w:rsidRPr="007F5475" w:rsidRDefault="00411288" w:rsidP="00DC69E0">
            <w:pPr>
              <w:shd w:val="clear" w:color="auto" w:fill="FFFFFF"/>
              <w:autoSpaceDE w:val="0"/>
              <w:ind w:left="131" w:right="131"/>
              <w:jc w:val="both"/>
              <w:rPr>
                <w:rFonts w:eastAsia="Arial"/>
                <w:color w:val="000000"/>
                <w:sz w:val="20"/>
                <w:szCs w:val="20"/>
              </w:rPr>
            </w:pPr>
            <w:r w:rsidRPr="007F5475">
              <w:rPr>
                <w:rFonts w:eastAsia="Arial"/>
                <w:color w:val="000000"/>
                <w:sz w:val="20"/>
                <w:szCs w:val="20"/>
              </w:rPr>
              <w:t>- Материалы приемных гильз не должны деформироваться в процессе эксплуатации протеза.</w:t>
            </w:r>
          </w:p>
          <w:p w:rsidR="00411288" w:rsidRPr="0077786B" w:rsidRDefault="00411288" w:rsidP="00DC69E0">
            <w:pPr>
              <w:shd w:val="clear" w:color="auto" w:fill="FFFFFF"/>
              <w:autoSpaceDE w:val="0"/>
              <w:ind w:left="131" w:right="131"/>
              <w:jc w:val="center"/>
              <w:rPr>
                <w:rFonts w:eastAsia="Arial"/>
                <w:b/>
                <w:sz w:val="20"/>
                <w:szCs w:val="20"/>
              </w:rPr>
            </w:pPr>
            <w:r w:rsidRPr="0077786B">
              <w:rPr>
                <w:rFonts w:eastAsia="Arial"/>
                <w:b/>
                <w:sz w:val="20"/>
                <w:szCs w:val="20"/>
              </w:rPr>
              <w:t>Требования к результатам работ</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 xml:space="preserve">Работы по обеспечению инвалидов и отдельных категорий граждан из числа ветеранов </w:t>
            </w:r>
            <w:r w:rsidRPr="0077786B">
              <w:rPr>
                <w:i/>
                <w:sz w:val="20"/>
                <w:szCs w:val="20"/>
              </w:rPr>
              <w:t>протезами голени</w:t>
            </w:r>
            <w:r w:rsidRPr="0077786B">
              <w:rPr>
                <w:rFonts w:eastAsia="Arial"/>
                <w:sz w:val="20"/>
                <w:szCs w:val="20"/>
              </w:rPr>
              <w:t xml:space="preserve"> следует считать эффективно исполненными, если у инвалидов и отдельных категорий граждан из числа ветеранов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и отдельных категорий граждан из числа ветеранов </w:t>
            </w:r>
            <w:r w:rsidRPr="0077786B">
              <w:rPr>
                <w:i/>
                <w:sz w:val="20"/>
                <w:szCs w:val="20"/>
              </w:rPr>
              <w:t>протезами голени</w:t>
            </w:r>
            <w:r w:rsidRPr="0077786B">
              <w:rPr>
                <w:rFonts w:eastAsia="Arial"/>
                <w:sz w:val="20"/>
                <w:szCs w:val="20"/>
              </w:rPr>
              <w:t xml:space="preserve"> должны быть выполнены с надлежащим качеством и в установленные сроки.</w:t>
            </w:r>
          </w:p>
          <w:p w:rsidR="00411288" w:rsidRPr="0077786B" w:rsidRDefault="00411288" w:rsidP="00DC69E0">
            <w:pPr>
              <w:shd w:val="clear" w:color="auto" w:fill="FFFFFF"/>
              <w:autoSpaceDE w:val="0"/>
              <w:ind w:left="131" w:right="131"/>
              <w:jc w:val="center"/>
              <w:rPr>
                <w:rFonts w:eastAsia="Arial"/>
                <w:b/>
                <w:sz w:val="20"/>
                <w:szCs w:val="20"/>
              </w:rPr>
            </w:pPr>
            <w:r w:rsidRPr="0077786B">
              <w:rPr>
                <w:rFonts w:eastAsia="Arial"/>
                <w:b/>
                <w:sz w:val="20"/>
                <w:szCs w:val="20"/>
              </w:rPr>
              <w:t>Требования к срокам и (или) объему предоставления гарантии качества работ</w:t>
            </w:r>
          </w:p>
          <w:p w:rsidR="00411288" w:rsidRPr="0077786B" w:rsidRDefault="00411288" w:rsidP="00DC69E0">
            <w:pPr>
              <w:shd w:val="clear" w:color="auto" w:fill="FFFFFF"/>
              <w:autoSpaceDE w:val="0"/>
              <w:ind w:left="131" w:right="131"/>
              <w:jc w:val="both"/>
              <w:rPr>
                <w:rFonts w:eastAsia="Arial"/>
                <w:sz w:val="20"/>
                <w:szCs w:val="20"/>
              </w:rPr>
            </w:pPr>
            <w:r w:rsidRPr="0077786B">
              <w:rPr>
                <w:rFonts w:eastAsia="Arial"/>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rsidR="00411288" w:rsidRPr="007D20FB" w:rsidRDefault="00411288" w:rsidP="00DC69E0">
            <w:pPr>
              <w:ind w:left="57" w:right="57"/>
              <w:jc w:val="center"/>
              <w:rPr>
                <w:rFonts w:eastAsia="Arial"/>
                <w:sz w:val="20"/>
                <w:szCs w:val="20"/>
              </w:rPr>
            </w:pPr>
            <w:r w:rsidRPr="007D20FB">
              <w:rPr>
                <w:rFonts w:eastAsia="Arial"/>
                <w:b/>
                <w:sz w:val="20"/>
                <w:szCs w:val="20"/>
              </w:rPr>
              <w:t>Требования к месту, условиям и срокам (периодам) выполнения работ.</w:t>
            </w:r>
          </w:p>
          <w:p w:rsidR="00411288" w:rsidRPr="007D20FB" w:rsidRDefault="00411288" w:rsidP="00DC69E0">
            <w:pPr>
              <w:ind w:left="57" w:right="57"/>
              <w:jc w:val="both"/>
              <w:rPr>
                <w:rFonts w:eastAsia="Arial"/>
                <w:sz w:val="20"/>
                <w:szCs w:val="20"/>
              </w:rPr>
            </w:pPr>
            <w:r w:rsidRPr="007D20FB">
              <w:rPr>
                <w:rFonts w:eastAsia="Arial"/>
                <w:sz w:val="20"/>
                <w:szCs w:val="20"/>
              </w:rPr>
              <w:t xml:space="preserve">Выполнение работ для обеспечения инвалидов и отдельных категорий граждан из числа ветеранов </w:t>
            </w:r>
            <w:r w:rsidRPr="007D20FB">
              <w:rPr>
                <w:i/>
                <w:sz w:val="20"/>
                <w:szCs w:val="20"/>
              </w:rPr>
              <w:t xml:space="preserve">протезами </w:t>
            </w:r>
            <w:r w:rsidRPr="007F5475">
              <w:rPr>
                <w:rFonts w:eastAsia="Calibri"/>
                <w:i/>
                <w:kern w:val="0"/>
                <w:sz w:val="20"/>
                <w:szCs w:val="20"/>
                <w:lang w:eastAsia="en-US"/>
              </w:rPr>
              <w:t>голени</w:t>
            </w:r>
            <w:r>
              <w:rPr>
                <w:rFonts w:eastAsia="Arial"/>
                <w:sz w:val="20"/>
                <w:szCs w:val="20"/>
              </w:rPr>
              <w:t xml:space="preserve"> производится до </w:t>
            </w:r>
            <w:r w:rsidRPr="007D20FB">
              <w:rPr>
                <w:rFonts w:eastAsia="Arial"/>
                <w:sz w:val="20"/>
                <w:szCs w:val="20"/>
              </w:rPr>
              <w:t>1</w:t>
            </w:r>
            <w:r>
              <w:rPr>
                <w:rFonts w:eastAsia="Arial"/>
                <w:sz w:val="20"/>
                <w:szCs w:val="20"/>
              </w:rPr>
              <w:t>5</w:t>
            </w:r>
            <w:r w:rsidRPr="007D20FB">
              <w:rPr>
                <w:rFonts w:eastAsia="Arial"/>
                <w:sz w:val="20"/>
                <w:szCs w:val="20"/>
              </w:rPr>
              <w:t xml:space="preserve"> </w:t>
            </w:r>
            <w:r>
              <w:rPr>
                <w:rFonts w:eastAsia="Arial"/>
                <w:sz w:val="20"/>
                <w:szCs w:val="20"/>
              </w:rPr>
              <w:t>ноя</w:t>
            </w:r>
            <w:r w:rsidRPr="007D20FB">
              <w:rPr>
                <w:rFonts w:eastAsia="Arial"/>
                <w:sz w:val="20"/>
                <w:szCs w:val="20"/>
              </w:rPr>
              <w:t>бря 202</w:t>
            </w:r>
            <w:r>
              <w:rPr>
                <w:rFonts w:eastAsia="Arial"/>
                <w:sz w:val="20"/>
                <w:szCs w:val="20"/>
              </w:rPr>
              <w:t>3</w:t>
            </w:r>
            <w:r w:rsidRPr="007D20FB">
              <w:rPr>
                <w:rFonts w:eastAsia="Arial"/>
                <w:sz w:val="20"/>
                <w:szCs w:val="20"/>
              </w:rPr>
              <w:t xml:space="preserve"> года. Срок выполнения Работ со дня получения списков или обращения инвалида (ветерана) к Исполнителю по направлению Заказчика – не более 45 дней. Место выполнения работ для обеспечения инвалидов и отдельных </w:t>
            </w:r>
            <w:r w:rsidRPr="007D20FB">
              <w:rPr>
                <w:rFonts w:eastAsia="Arial"/>
                <w:color w:val="000000"/>
                <w:sz w:val="20"/>
                <w:szCs w:val="20"/>
              </w:rPr>
              <w:t xml:space="preserve">категорий граждан из числа ветеранов протезами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 </w:t>
            </w:r>
            <w:r w:rsidRPr="007D20FB">
              <w:rPr>
                <w:rFonts w:eastAsia="Arial"/>
                <w:sz w:val="20"/>
                <w:szCs w:val="20"/>
              </w:rPr>
              <w:t>Изготовление по индивидуальным слепкам. Доставка готового изделия при необходимости по месту жительства инвалида.</w:t>
            </w:r>
          </w:p>
          <w:p w:rsidR="00411288" w:rsidRPr="007D20FB" w:rsidRDefault="00411288" w:rsidP="00DC69E0">
            <w:pPr>
              <w:jc w:val="center"/>
              <w:rPr>
                <w:rFonts w:eastAsia="Andale Sans UI"/>
                <w:b/>
                <w:sz w:val="20"/>
                <w:szCs w:val="20"/>
                <w:lang w:eastAsia="fa-IR" w:bidi="fa-IR"/>
              </w:rPr>
            </w:pPr>
            <w:r w:rsidRPr="007D20FB">
              <w:rPr>
                <w:rFonts w:eastAsia="Andale Sans UI"/>
                <w:b/>
                <w:sz w:val="20"/>
                <w:szCs w:val="20"/>
                <w:lang w:eastAsia="fa-IR" w:bidi="fa-IR"/>
              </w:rPr>
              <w:lastRenderedPageBreak/>
              <w:t>Требования к пункту выдачи Товара.</w:t>
            </w:r>
          </w:p>
          <w:p w:rsidR="00411288" w:rsidRPr="007D20FB" w:rsidRDefault="00411288" w:rsidP="00DC69E0">
            <w:pPr>
              <w:ind w:firstLine="567"/>
              <w:jc w:val="both"/>
              <w:rPr>
                <w:rFonts w:eastAsia="Andale Sans UI"/>
                <w:sz w:val="20"/>
                <w:szCs w:val="20"/>
                <w:lang w:eastAsia="fa-IR" w:bidi="fa-IR"/>
              </w:rPr>
            </w:pPr>
            <w:r w:rsidRPr="007D20FB">
              <w:rPr>
                <w:rFonts w:eastAsia="Andale Sans UI"/>
                <w:sz w:val="20"/>
                <w:szCs w:val="20"/>
                <w:lang w:eastAsia="fa-IR" w:bidi="fa-IR"/>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411288" w:rsidRPr="007D20FB" w:rsidRDefault="00411288" w:rsidP="00DC69E0">
            <w:pPr>
              <w:ind w:firstLine="567"/>
              <w:jc w:val="both"/>
              <w:rPr>
                <w:rFonts w:eastAsia="Andale Sans UI"/>
                <w:sz w:val="20"/>
                <w:szCs w:val="20"/>
                <w:lang w:eastAsia="fa-IR" w:bidi="fa-IR"/>
              </w:rPr>
            </w:pPr>
            <w:r w:rsidRPr="007D20FB">
              <w:rPr>
                <w:rFonts w:eastAsia="Andale Sans UI"/>
                <w:sz w:val="20"/>
                <w:szCs w:val="20"/>
                <w:lang w:eastAsia="fa-IR" w:bidi="fa-IR"/>
              </w:rPr>
              <w:t xml:space="preserve">Пункт выдачи должен иметь отдельный вход с улицы, зону ожидания Получателей, с мебелью для ожидания в сидячем положении. </w:t>
            </w:r>
          </w:p>
          <w:p w:rsidR="00411288" w:rsidRPr="007D20FB" w:rsidRDefault="00411288" w:rsidP="00DC69E0">
            <w:pPr>
              <w:ind w:firstLine="567"/>
              <w:jc w:val="both"/>
              <w:rPr>
                <w:rFonts w:eastAsia="Andale Sans UI"/>
                <w:sz w:val="20"/>
                <w:szCs w:val="20"/>
                <w:lang w:eastAsia="fa-IR" w:bidi="fa-IR"/>
              </w:rPr>
            </w:pPr>
            <w:r w:rsidRPr="007D20FB">
              <w:rPr>
                <w:rFonts w:eastAsia="Andale Sans UI"/>
                <w:sz w:val="20"/>
                <w:szCs w:val="20"/>
                <w:lang w:eastAsia="fa-IR" w:bidi="fa-IR"/>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rsidR="00411288" w:rsidRPr="007D20FB" w:rsidRDefault="00411288" w:rsidP="00DC69E0">
            <w:pPr>
              <w:ind w:firstLine="567"/>
              <w:jc w:val="both"/>
              <w:rPr>
                <w:rFonts w:eastAsia="Andale Sans UI"/>
                <w:sz w:val="20"/>
                <w:szCs w:val="20"/>
                <w:lang w:eastAsia="fa-IR" w:bidi="fa-IR"/>
              </w:rPr>
            </w:pPr>
            <w:r w:rsidRPr="007D20FB">
              <w:rPr>
                <w:rFonts w:eastAsia="Andale Sans UI"/>
                <w:sz w:val="20"/>
                <w:szCs w:val="20"/>
                <w:lang w:eastAsia="fa-IR" w:bidi="fa-IR"/>
              </w:rPr>
              <w:t xml:space="preserve">Пункт выдачи должен быть оборудован камерами </w:t>
            </w:r>
            <w:proofErr w:type="spellStart"/>
            <w:r w:rsidRPr="007D20FB">
              <w:rPr>
                <w:rFonts w:eastAsia="Andale Sans UI"/>
                <w:sz w:val="20"/>
                <w:szCs w:val="20"/>
                <w:lang w:eastAsia="fa-IR" w:bidi="fa-IR"/>
              </w:rPr>
              <w:t>видеофиксации</w:t>
            </w:r>
            <w:proofErr w:type="spellEnd"/>
            <w:r w:rsidRPr="007D20FB">
              <w:rPr>
                <w:rFonts w:eastAsia="Andale Sans UI"/>
                <w:sz w:val="20"/>
                <w:szCs w:val="20"/>
                <w:lang w:eastAsia="fa-IR" w:bidi="fa-IR"/>
              </w:rPr>
              <w:t>, которые будут вести видеозапись приема-передачи товара Получателям, а также телефонными аппаратами для консультации Получателей ТСР.</w:t>
            </w:r>
          </w:p>
          <w:p w:rsidR="00411288" w:rsidRPr="007D20FB" w:rsidRDefault="00411288" w:rsidP="00DC69E0">
            <w:pPr>
              <w:ind w:firstLine="567"/>
              <w:jc w:val="both"/>
              <w:rPr>
                <w:rFonts w:eastAsia="Andale Sans UI"/>
                <w:sz w:val="20"/>
                <w:szCs w:val="20"/>
                <w:lang w:eastAsia="fa-IR" w:bidi="fa-IR"/>
              </w:rPr>
            </w:pPr>
            <w:r w:rsidRPr="007D20FB">
              <w:rPr>
                <w:rFonts w:eastAsia="Andale Sans UI"/>
                <w:sz w:val="20"/>
                <w:szCs w:val="20"/>
                <w:lang w:eastAsia="fa-IR" w:bidi="fa-IR"/>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411288" w:rsidRPr="007D20FB" w:rsidRDefault="00411288" w:rsidP="00DC69E0">
            <w:pPr>
              <w:ind w:left="57" w:right="57"/>
              <w:jc w:val="both"/>
              <w:rPr>
                <w:sz w:val="20"/>
                <w:szCs w:val="20"/>
                <w:lang w:eastAsia="zh-CN"/>
              </w:rPr>
            </w:pPr>
            <w:r w:rsidRPr="007D20FB">
              <w:rPr>
                <w:rFonts w:eastAsia="Andale Sans UI"/>
                <w:sz w:val="20"/>
                <w:szCs w:val="20"/>
                <w:lang w:eastAsia="fa-IR" w:bidi="fa-IR"/>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411288" w:rsidRPr="007D20FB" w:rsidRDefault="00411288" w:rsidP="00DC69E0">
            <w:pPr>
              <w:jc w:val="center"/>
              <w:rPr>
                <w:sz w:val="20"/>
                <w:szCs w:val="20"/>
                <w:lang w:eastAsia="zh-CN"/>
              </w:rPr>
            </w:pPr>
            <w:r>
              <w:rPr>
                <w:sz w:val="20"/>
                <w:szCs w:val="20"/>
                <w:lang w:eastAsia="zh-CN"/>
              </w:rPr>
              <w:lastRenderedPageBreak/>
              <w:t>18</w:t>
            </w:r>
          </w:p>
        </w:tc>
      </w:tr>
      <w:tr w:rsidR="00411288" w:rsidRPr="007D20FB" w:rsidTr="00DC69E0">
        <w:trPr>
          <w:trHeight w:val="213"/>
        </w:trPr>
        <w:tc>
          <w:tcPr>
            <w:tcW w:w="426" w:type="dxa"/>
            <w:tcMar>
              <w:top w:w="55" w:type="dxa"/>
              <w:left w:w="55" w:type="dxa"/>
              <w:bottom w:w="55" w:type="dxa"/>
              <w:right w:w="55" w:type="dxa"/>
            </w:tcMar>
            <w:vAlign w:val="center"/>
          </w:tcPr>
          <w:p w:rsidR="00411288" w:rsidRPr="007D20FB" w:rsidRDefault="00411288" w:rsidP="00DC69E0">
            <w:pPr>
              <w:tabs>
                <w:tab w:val="left" w:pos="6600"/>
              </w:tabs>
              <w:contextualSpacing/>
              <w:jc w:val="center"/>
              <w:rPr>
                <w:bCs/>
                <w:sz w:val="20"/>
                <w:szCs w:val="20"/>
                <w:lang w:eastAsia="zh-CN"/>
              </w:rPr>
            </w:pPr>
            <w:r w:rsidRPr="007D20FB">
              <w:rPr>
                <w:bCs/>
                <w:sz w:val="20"/>
                <w:szCs w:val="20"/>
                <w:lang w:eastAsia="zh-CN"/>
              </w:rPr>
              <w:t>2.</w:t>
            </w:r>
          </w:p>
        </w:tc>
        <w:tc>
          <w:tcPr>
            <w:tcW w:w="1192" w:type="dxa"/>
            <w:vMerge/>
            <w:tcBorders>
              <w:right w:val="single" w:sz="4" w:space="0" w:color="auto"/>
            </w:tcBorders>
            <w:tcMar>
              <w:top w:w="55" w:type="dxa"/>
              <w:left w:w="55" w:type="dxa"/>
              <w:bottom w:w="55" w:type="dxa"/>
              <w:right w:w="55" w:type="dxa"/>
            </w:tcMar>
          </w:tcPr>
          <w:p w:rsidR="00411288" w:rsidRPr="007D20FB" w:rsidRDefault="00411288" w:rsidP="00DC69E0">
            <w:pPr>
              <w:tabs>
                <w:tab w:val="left" w:pos="6600"/>
              </w:tabs>
              <w:contextualSpacing/>
              <w:jc w:val="center"/>
              <w:rPr>
                <w:bCs/>
                <w:sz w:val="20"/>
                <w:szCs w:val="20"/>
                <w:lang w:eastAsia="zh-CN"/>
              </w:rPr>
            </w:pPr>
          </w:p>
        </w:tc>
        <w:tc>
          <w:tcPr>
            <w:tcW w:w="1559" w:type="dxa"/>
            <w:tcBorders>
              <w:right w:val="single" w:sz="4" w:space="0" w:color="auto"/>
            </w:tcBorders>
          </w:tcPr>
          <w:p w:rsidR="00411288" w:rsidRPr="007D20FB" w:rsidRDefault="00411288" w:rsidP="00DC69E0">
            <w:pPr>
              <w:tabs>
                <w:tab w:val="left" w:pos="6600"/>
              </w:tabs>
              <w:contextualSpacing/>
              <w:jc w:val="center"/>
              <w:rPr>
                <w:bCs/>
                <w:sz w:val="20"/>
                <w:szCs w:val="20"/>
                <w:lang w:eastAsia="zh-CN"/>
              </w:rPr>
            </w:pPr>
            <w:r w:rsidRPr="0077786B">
              <w:rPr>
                <w:sz w:val="20"/>
                <w:szCs w:val="20"/>
              </w:rPr>
              <w:t xml:space="preserve">Выполнение работ для обеспечения инвалидов и отдельных категорий граждан из числа </w:t>
            </w:r>
            <w:r w:rsidRPr="0077786B">
              <w:rPr>
                <w:sz w:val="20"/>
                <w:szCs w:val="20"/>
              </w:rPr>
              <w:lastRenderedPageBreak/>
              <w:t>ветеранов протезами голени модульными, в том числе при недоразвитии</w:t>
            </w:r>
          </w:p>
        </w:tc>
        <w:tc>
          <w:tcPr>
            <w:tcW w:w="4111" w:type="dxa"/>
            <w:tcBorders>
              <w:left w:val="single" w:sz="4" w:space="0" w:color="auto"/>
            </w:tcBorders>
          </w:tcPr>
          <w:p w:rsidR="00411288" w:rsidRPr="007D20FB" w:rsidRDefault="00411288" w:rsidP="00DC69E0">
            <w:pPr>
              <w:contextualSpacing/>
              <w:jc w:val="both"/>
              <w:rPr>
                <w:bCs/>
                <w:sz w:val="20"/>
                <w:szCs w:val="20"/>
                <w:lang w:eastAsia="zh-CN"/>
              </w:rPr>
            </w:pPr>
            <w:r w:rsidRPr="0077786B">
              <w:rPr>
                <w:bCs/>
                <w:sz w:val="20"/>
                <w:szCs w:val="20"/>
                <w:lang w:eastAsia="zh-CN"/>
              </w:rPr>
              <w:lastRenderedPageBreak/>
              <w:t xml:space="preserve">Протез голени с полимерным чехлом на короткую и среднюю культю,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77786B">
              <w:rPr>
                <w:bCs/>
                <w:sz w:val="20"/>
                <w:szCs w:val="20"/>
                <w:lang w:eastAsia="zh-CN"/>
              </w:rPr>
              <w:t>перлоновые</w:t>
            </w:r>
            <w:proofErr w:type="spellEnd"/>
            <w:r w:rsidRPr="0077786B">
              <w:rPr>
                <w:bCs/>
                <w:sz w:val="20"/>
                <w:szCs w:val="20"/>
                <w:lang w:eastAsia="zh-CN"/>
              </w:rPr>
              <w:t xml:space="preserve"> или </w:t>
            </w:r>
            <w:proofErr w:type="spellStart"/>
            <w:r w:rsidRPr="0077786B">
              <w:rPr>
                <w:bCs/>
                <w:sz w:val="20"/>
                <w:szCs w:val="20"/>
                <w:lang w:eastAsia="zh-CN"/>
              </w:rPr>
              <w:t>силоновые</w:t>
            </w:r>
            <w:proofErr w:type="spellEnd"/>
            <w:r w:rsidRPr="0077786B">
              <w:rPr>
                <w:bCs/>
                <w:sz w:val="20"/>
                <w:szCs w:val="20"/>
                <w:lang w:eastAsia="zh-CN"/>
              </w:rPr>
              <w:t xml:space="preserve">, допускается </w:t>
            </w:r>
            <w:r w:rsidRPr="0077786B">
              <w:rPr>
                <w:bCs/>
                <w:sz w:val="20"/>
                <w:szCs w:val="20"/>
                <w:lang w:eastAsia="zh-CN"/>
              </w:rPr>
              <w:lastRenderedPageBreak/>
              <w:t xml:space="preserve">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или вакуума с </w:t>
            </w:r>
            <w:proofErr w:type="spellStart"/>
            <w:r w:rsidRPr="0077786B">
              <w:rPr>
                <w:bCs/>
                <w:sz w:val="20"/>
                <w:szCs w:val="20"/>
                <w:lang w:eastAsia="zh-CN"/>
              </w:rPr>
              <w:t>полимерныи</w:t>
            </w:r>
            <w:proofErr w:type="spellEnd"/>
            <w:r w:rsidRPr="0077786B">
              <w:rPr>
                <w:bCs/>
                <w:sz w:val="20"/>
                <w:szCs w:val="20"/>
                <w:lang w:eastAsia="zh-CN"/>
              </w:rPr>
              <w:t xml:space="preserve"> наколенником. Регулировочно-соединительные устройства должны соответствовать весу инвалида.  Стопа со средней степенью энергосбережения или стопа модульная </w:t>
            </w:r>
            <w:proofErr w:type="spellStart"/>
            <w:r w:rsidRPr="0077786B">
              <w:rPr>
                <w:bCs/>
                <w:sz w:val="20"/>
                <w:szCs w:val="20"/>
                <w:lang w:eastAsia="zh-CN"/>
              </w:rPr>
              <w:t>бесшарнирная</w:t>
            </w:r>
            <w:proofErr w:type="spellEnd"/>
            <w:r w:rsidRPr="0077786B">
              <w:rPr>
                <w:bCs/>
                <w:sz w:val="20"/>
                <w:szCs w:val="20"/>
                <w:lang w:eastAsia="zh-CN"/>
              </w:rPr>
              <w:t xml:space="preserve"> с опорным вкладным элементом из </w:t>
            </w:r>
            <w:proofErr w:type="spellStart"/>
            <w:r w:rsidRPr="0077786B">
              <w:rPr>
                <w:bCs/>
                <w:sz w:val="20"/>
                <w:szCs w:val="20"/>
                <w:lang w:eastAsia="zh-CN"/>
              </w:rPr>
              <w:t>углеволокна</w:t>
            </w:r>
            <w:proofErr w:type="spellEnd"/>
            <w:r w:rsidRPr="0077786B">
              <w:rPr>
                <w:bCs/>
                <w:sz w:val="20"/>
                <w:szCs w:val="20"/>
                <w:lang w:eastAsia="zh-CN"/>
              </w:rPr>
              <w:t xml:space="preserve"> для пациента со средним уровнем активности. Тип протеза: постоянный.</w:t>
            </w:r>
          </w:p>
        </w:tc>
        <w:tc>
          <w:tcPr>
            <w:tcW w:w="7229" w:type="dxa"/>
            <w:vMerge/>
            <w:tcBorders>
              <w:left w:val="single" w:sz="1" w:space="0" w:color="000000"/>
              <w:right w:val="single" w:sz="1" w:space="0" w:color="000000"/>
            </w:tcBorders>
          </w:tcPr>
          <w:p w:rsidR="00411288" w:rsidRPr="007D20FB" w:rsidRDefault="00411288" w:rsidP="00DC69E0">
            <w:pPr>
              <w:shd w:val="clear" w:color="auto" w:fill="FFFFFF"/>
              <w:autoSpaceDE w:val="0"/>
              <w:ind w:left="131" w:right="131"/>
              <w:jc w:val="center"/>
              <w:rPr>
                <w:rFonts w:eastAsia="Arial"/>
                <w:b/>
                <w:sz w:val="20"/>
                <w:szCs w:val="20"/>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411288" w:rsidRPr="007D20FB" w:rsidRDefault="00411288" w:rsidP="00DC69E0">
            <w:pPr>
              <w:jc w:val="center"/>
              <w:rPr>
                <w:sz w:val="20"/>
                <w:szCs w:val="20"/>
                <w:lang w:eastAsia="zh-CN"/>
              </w:rPr>
            </w:pPr>
            <w:r>
              <w:rPr>
                <w:sz w:val="20"/>
                <w:szCs w:val="20"/>
                <w:lang w:eastAsia="zh-CN"/>
              </w:rPr>
              <w:t>18</w:t>
            </w:r>
          </w:p>
        </w:tc>
      </w:tr>
      <w:tr w:rsidR="00411288" w:rsidRPr="007D20FB" w:rsidTr="00DC69E0">
        <w:trPr>
          <w:trHeight w:val="213"/>
        </w:trPr>
        <w:tc>
          <w:tcPr>
            <w:tcW w:w="426" w:type="dxa"/>
            <w:tcMar>
              <w:top w:w="55" w:type="dxa"/>
              <w:left w:w="55" w:type="dxa"/>
              <w:bottom w:w="55" w:type="dxa"/>
              <w:right w:w="55" w:type="dxa"/>
            </w:tcMar>
            <w:vAlign w:val="center"/>
          </w:tcPr>
          <w:p w:rsidR="00411288" w:rsidRPr="007D20FB" w:rsidRDefault="00411288" w:rsidP="00DC69E0">
            <w:pPr>
              <w:tabs>
                <w:tab w:val="left" w:pos="6600"/>
              </w:tabs>
              <w:contextualSpacing/>
              <w:jc w:val="center"/>
              <w:rPr>
                <w:bCs/>
                <w:sz w:val="20"/>
                <w:szCs w:val="20"/>
                <w:lang w:eastAsia="zh-CN"/>
              </w:rPr>
            </w:pPr>
            <w:r w:rsidRPr="007D20FB">
              <w:rPr>
                <w:bCs/>
                <w:sz w:val="20"/>
                <w:szCs w:val="20"/>
                <w:lang w:eastAsia="zh-CN"/>
              </w:rPr>
              <w:t>3.</w:t>
            </w:r>
          </w:p>
        </w:tc>
        <w:tc>
          <w:tcPr>
            <w:tcW w:w="1192" w:type="dxa"/>
            <w:vMerge/>
            <w:tcBorders>
              <w:right w:val="single" w:sz="4" w:space="0" w:color="auto"/>
            </w:tcBorders>
            <w:tcMar>
              <w:top w:w="55" w:type="dxa"/>
              <w:left w:w="55" w:type="dxa"/>
              <w:bottom w:w="55" w:type="dxa"/>
              <w:right w:w="55" w:type="dxa"/>
            </w:tcMar>
          </w:tcPr>
          <w:p w:rsidR="00411288" w:rsidRPr="007D20FB" w:rsidRDefault="00411288" w:rsidP="00DC69E0">
            <w:pPr>
              <w:tabs>
                <w:tab w:val="left" w:pos="6600"/>
              </w:tabs>
              <w:contextualSpacing/>
              <w:jc w:val="center"/>
              <w:rPr>
                <w:bCs/>
                <w:sz w:val="20"/>
                <w:szCs w:val="20"/>
                <w:lang w:eastAsia="zh-CN"/>
              </w:rPr>
            </w:pPr>
          </w:p>
        </w:tc>
        <w:tc>
          <w:tcPr>
            <w:tcW w:w="1559" w:type="dxa"/>
            <w:tcBorders>
              <w:right w:val="single" w:sz="4" w:space="0" w:color="auto"/>
            </w:tcBorders>
          </w:tcPr>
          <w:p w:rsidR="00411288" w:rsidRPr="007D20FB" w:rsidRDefault="00411288" w:rsidP="00DC69E0">
            <w:pPr>
              <w:tabs>
                <w:tab w:val="left" w:pos="6600"/>
              </w:tabs>
              <w:contextualSpacing/>
              <w:jc w:val="center"/>
              <w:rPr>
                <w:bCs/>
                <w:sz w:val="20"/>
                <w:szCs w:val="20"/>
                <w:lang w:eastAsia="zh-CN"/>
              </w:rPr>
            </w:pPr>
            <w:r w:rsidRPr="0077786B">
              <w:rPr>
                <w:sz w:val="20"/>
                <w:szCs w:val="20"/>
              </w:rPr>
              <w:t>Выполнение работ для обеспечения инвалидов и отдельных категорий граждан из числа ветеранов протезами голени модульными, в том числе при недоразвитии</w:t>
            </w:r>
          </w:p>
        </w:tc>
        <w:tc>
          <w:tcPr>
            <w:tcW w:w="4111" w:type="dxa"/>
            <w:tcBorders>
              <w:left w:val="single" w:sz="4" w:space="0" w:color="auto"/>
            </w:tcBorders>
          </w:tcPr>
          <w:p w:rsidR="00411288" w:rsidRPr="007D20FB" w:rsidRDefault="00411288" w:rsidP="00DC69E0">
            <w:pPr>
              <w:contextualSpacing/>
              <w:jc w:val="both"/>
              <w:rPr>
                <w:bCs/>
                <w:sz w:val="20"/>
                <w:szCs w:val="20"/>
                <w:lang w:eastAsia="zh-CN"/>
              </w:rPr>
            </w:pPr>
            <w:r w:rsidRPr="0077786B">
              <w:rPr>
                <w:bCs/>
                <w:sz w:val="20"/>
                <w:szCs w:val="20"/>
                <w:lang w:eastAsia="zh-CN"/>
              </w:rPr>
              <w:t xml:space="preserve">Протез голени с полимерным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w:t>
            </w:r>
            <w:proofErr w:type="spellStart"/>
            <w:r w:rsidRPr="0077786B">
              <w:rPr>
                <w:bCs/>
                <w:sz w:val="20"/>
                <w:szCs w:val="20"/>
                <w:lang w:eastAsia="zh-CN"/>
              </w:rPr>
              <w:t>перлоновые</w:t>
            </w:r>
            <w:proofErr w:type="spellEnd"/>
            <w:r w:rsidRPr="0077786B">
              <w:rPr>
                <w:bCs/>
                <w:sz w:val="20"/>
                <w:szCs w:val="20"/>
                <w:lang w:eastAsia="zh-CN"/>
              </w:rPr>
              <w:t xml:space="preserve"> или </w:t>
            </w:r>
            <w:proofErr w:type="spellStart"/>
            <w:r w:rsidRPr="0077786B">
              <w:rPr>
                <w:bCs/>
                <w:sz w:val="20"/>
                <w:szCs w:val="20"/>
                <w:lang w:eastAsia="zh-CN"/>
              </w:rPr>
              <w:t>силоновые</w:t>
            </w:r>
            <w:proofErr w:type="spellEnd"/>
            <w:r w:rsidRPr="0077786B">
              <w:rPr>
                <w:bCs/>
                <w:sz w:val="20"/>
                <w:szCs w:val="20"/>
                <w:lang w:eastAsia="zh-CN"/>
              </w:rPr>
              <w:t>,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или вакуума. Регулировочно-соединительные устройства должны соответствовать весу инвалида. Стопа с высокой степенью энергосбережения или стопа с бесступенчато-регулируемой пациентом высотой каблука. Тип протеза: постоянный.</w:t>
            </w:r>
          </w:p>
        </w:tc>
        <w:tc>
          <w:tcPr>
            <w:tcW w:w="7229" w:type="dxa"/>
            <w:vMerge/>
            <w:tcBorders>
              <w:left w:val="single" w:sz="1" w:space="0" w:color="000000"/>
              <w:right w:val="single" w:sz="1" w:space="0" w:color="000000"/>
            </w:tcBorders>
          </w:tcPr>
          <w:p w:rsidR="00411288" w:rsidRPr="007D20FB" w:rsidRDefault="00411288" w:rsidP="00DC69E0">
            <w:pPr>
              <w:shd w:val="clear" w:color="auto" w:fill="FFFFFF"/>
              <w:autoSpaceDE w:val="0"/>
              <w:ind w:left="131" w:right="131"/>
              <w:jc w:val="center"/>
              <w:rPr>
                <w:rFonts w:eastAsia="Arial"/>
                <w:b/>
                <w:sz w:val="20"/>
                <w:szCs w:val="20"/>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411288" w:rsidRPr="007D20FB" w:rsidRDefault="00411288" w:rsidP="00DC69E0">
            <w:pPr>
              <w:jc w:val="center"/>
              <w:rPr>
                <w:sz w:val="20"/>
                <w:szCs w:val="20"/>
                <w:lang w:eastAsia="zh-CN"/>
              </w:rPr>
            </w:pPr>
            <w:r>
              <w:rPr>
                <w:sz w:val="20"/>
                <w:szCs w:val="20"/>
                <w:lang w:eastAsia="zh-CN"/>
              </w:rPr>
              <w:t>6</w:t>
            </w:r>
          </w:p>
        </w:tc>
      </w:tr>
      <w:tr w:rsidR="00411288" w:rsidRPr="007D20FB" w:rsidTr="00DC69E0">
        <w:trPr>
          <w:trHeight w:val="213"/>
        </w:trPr>
        <w:tc>
          <w:tcPr>
            <w:tcW w:w="426" w:type="dxa"/>
            <w:tcMar>
              <w:top w:w="55" w:type="dxa"/>
              <w:left w:w="55" w:type="dxa"/>
              <w:bottom w:w="55" w:type="dxa"/>
              <w:right w:w="55" w:type="dxa"/>
            </w:tcMar>
            <w:vAlign w:val="center"/>
          </w:tcPr>
          <w:p w:rsidR="00411288" w:rsidRPr="007D20FB" w:rsidRDefault="00411288" w:rsidP="00DC69E0">
            <w:pPr>
              <w:tabs>
                <w:tab w:val="left" w:pos="6600"/>
              </w:tabs>
              <w:contextualSpacing/>
              <w:jc w:val="center"/>
              <w:rPr>
                <w:bCs/>
                <w:sz w:val="20"/>
                <w:szCs w:val="20"/>
                <w:lang w:eastAsia="zh-CN"/>
              </w:rPr>
            </w:pPr>
            <w:r w:rsidRPr="007D20FB">
              <w:rPr>
                <w:bCs/>
                <w:sz w:val="20"/>
                <w:szCs w:val="20"/>
                <w:lang w:eastAsia="zh-CN"/>
              </w:rPr>
              <w:t>4.</w:t>
            </w:r>
          </w:p>
        </w:tc>
        <w:tc>
          <w:tcPr>
            <w:tcW w:w="1192" w:type="dxa"/>
            <w:vMerge/>
            <w:tcBorders>
              <w:right w:val="single" w:sz="4" w:space="0" w:color="auto"/>
            </w:tcBorders>
            <w:tcMar>
              <w:top w:w="55" w:type="dxa"/>
              <w:left w:w="55" w:type="dxa"/>
              <w:bottom w:w="55" w:type="dxa"/>
              <w:right w:w="55" w:type="dxa"/>
            </w:tcMar>
          </w:tcPr>
          <w:p w:rsidR="00411288" w:rsidRPr="007D20FB" w:rsidRDefault="00411288" w:rsidP="00DC69E0">
            <w:pPr>
              <w:tabs>
                <w:tab w:val="left" w:pos="6600"/>
              </w:tabs>
              <w:contextualSpacing/>
              <w:jc w:val="center"/>
              <w:rPr>
                <w:bCs/>
                <w:sz w:val="20"/>
                <w:szCs w:val="20"/>
                <w:lang w:eastAsia="zh-CN"/>
              </w:rPr>
            </w:pPr>
          </w:p>
        </w:tc>
        <w:tc>
          <w:tcPr>
            <w:tcW w:w="1559" w:type="dxa"/>
            <w:tcBorders>
              <w:right w:val="single" w:sz="4" w:space="0" w:color="auto"/>
            </w:tcBorders>
          </w:tcPr>
          <w:p w:rsidR="00411288" w:rsidRPr="007D20FB" w:rsidRDefault="00411288" w:rsidP="00DC69E0">
            <w:pPr>
              <w:tabs>
                <w:tab w:val="left" w:pos="6600"/>
              </w:tabs>
              <w:contextualSpacing/>
              <w:jc w:val="center"/>
              <w:rPr>
                <w:bCs/>
                <w:sz w:val="20"/>
                <w:szCs w:val="20"/>
                <w:lang w:eastAsia="zh-CN"/>
              </w:rPr>
            </w:pPr>
            <w:r w:rsidRPr="007D20FB">
              <w:rPr>
                <w:rFonts w:eastAsia="Arial CYR"/>
                <w:sz w:val="20"/>
                <w:szCs w:val="20"/>
              </w:rPr>
              <w:t xml:space="preserve">Выполнение работ для </w:t>
            </w:r>
            <w:r w:rsidRPr="007D20FB">
              <w:rPr>
                <w:rFonts w:eastAsia="Arial CYR"/>
                <w:sz w:val="20"/>
                <w:szCs w:val="20"/>
              </w:rPr>
              <w:lastRenderedPageBreak/>
              <w:t xml:space="preserve">обеспечения инвалидов и отдельных категорий граждан из числа ветеранов протезами </w:t>
            </w:r>
            <w:r>
              <w:rPr>
                <w:rFonts w:eastAsia="Arial CYR"/>
                <w:sz w:val="20"/>
                <w:szCs w:val="20"/>
              </w:rPr>
              <w:t>голени</w:t>
            </w:r>
            <w:r w:rsidRPr="007D20FB">
              <w:rPr>
                <w:rFonts w:eastAsia="Arial CYR"/>
                <w:sz w:val="20"/>
                <w:szCs w:val="20"/>
              </w:rPr>
              <w:t xml:space="preserve"> для купания</w:t>
            </w:r>
          </w:p>
        </w:tc>
        <w:tc>
          <w:tcPr>
            <w:tcW w:w="4111" w:type="dxa"/>
            <w:tcBorders>
              <w:left w:val="single" w:sz="4" w:space="0" w:color="auto"/>
            </w:tcBorders>
          </w:tcPr>
          <w:p w:rsidR="00411288" w:rsidRPr="007D20FB" w:rsidRDefault="00411288" w:rsidP="00DC69E0">
            <w:pPr>
              <w:contextualSpacing/>
              <w:jc w:val="both"/>
              <w:rPr>
                <w:bCs/>
                <w:sz w:val="20"/>
                <w:szCs w:val="20"/>
                <w:lang w:eastAsia="zh-CN"/>
              </w:rPr>
            </w:pPr>
            <w:r w:rsidRPr="0077786B">
              <w:rPr>
                <w:bCs/>
                <w:sz w:val="20"/>
                <w:szCs w:val="20"/>
                <w:lang w:eastAsia="zh-CN"/>
              </w:rPr>
              <w:lastRenderedPageBreak/>
              <w:t xml:space="preserve">Протез голени для купания модульный, с индивидуальной приемной гильзой, </w:t>
            </w:r>
            <w:r w:rsidRPr="0077786B">
              <w:rPr>
                <w:bCs/>
                <w:sz w:val="20"/>
                <w:szCs w:val="20"/>
                <w:lang w:eastAsia="zh-CN"/>
              </w:rPr>
              <w:lastRenderedPageBreak/>
              <w:t xml:space="preserve">изготовленный по индивидуальному слепку с культи инвалида. Материал приемной гильзы - литьевой пластик на основе </w:t>
            </w:r>
            <w:proofErr w:type="spellStart"/>
            <w:r w:rsidRPr="0077786B">
              <w:rPr>
                <w:bCs/>
                <w:sz w:val="20"/>
                <w:szCs w:val="20"/>
                <w:lang w:eastAsia="zh-CN"/>
              </w:rPr>
              <w:t>акрилоновых</w:t>
            </w:r>
            <w:proofErr w:type="spellEnd"/>
            <w:r w:rsidRPr="0077786B">
              <w:rPr>
                <w:bCs/>
                <w:sz w:val="20"/>
                <w:szCs w:val="20"/>
                <w:lang w:eastAsia="zh-CN"/>
              </w:rPr>
              <w:t xml:space="preserve"> смол или листовой термопластик, вкладная гильза из вспененного материала, крепление за счет приемной гильзы и резиновой манжеты, стопа водостойкая монолитная.</w:t>
            </w:r>
          </w:p>
        </w:tc>
        <w:tc>
          <w:tcPr>
            <w:tcW w:w="7229" w:type="dxa"/>
            <w:vMerge/>
            <w:tcBorders>
              <w:left w:val="single" w:sz="1" w:space="0" w:color="000000"/>
              <w:right w:val="single" w:sz="1" w:space="0" w:color="000000"/>
            </w:tcBorders>
          </w:tcPr>
          <w:p w:rsidR="00411288" w:rsidRPr="007D20FB" w:rsidRDefault="00411288" w:rsidP="00DC69E0">
            <w:pPr>
              <w:shd w:val="clear" w:color="auto" w:fill="FFFFFF"/>
              <w:autoSpaceDE w:val="0"/>
              <w:ind w:left="131" w:right="131"/>
              <w:jc w:val="center"/>
              <w:rPr>
                <w:rFonts w:eastAsia="Arial"/>
                <w:b/>
                <w:sz w:val="20"/>
                <w:szCs w:val="20"/>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411288" w:rsidRPr="007D20FB" w:rsidRDefault="00411288" w:rsidP="00DC69E0">
            <w:pPr>
              <w:jc w:val="center"/>
              <w:rPr>
                <w:sz w:val="20"/>
                <w:szCs w:val="20"/>
                <w:lang w:eastAsia="zh-CN"/>
              </w:rPr>
            </w:pPr>
            <w:r>
              <w:rPr>
                <w:sz w:val="20"/>
                <w:szCs w:val="20"/>
                <w:lang w:eastAsia="zh-CN"/>
              </w:rPr>
              <w:t>3</w:t>
            </w:r>
          </w:p>
        </w:tc>
      </w:tr>
      <w:tr w:rsidR="00411288" w:rsidRPr="007D20FB" w:rsidTr="00DC69E0">
        <w:trPr>
          <w:trHeight w:val="213"/>
        </w:trPr>
        <w:tc>
          <w:tcPr>
            <w:tcW w:w="426" w:type="dxa"/>
            <w:tcMar>
              <w:top w:w="55" w:type="dxa"/>
              <w:left w:w="55" w:type="dxa"/>
              <w:bottom w:w="55" w:type="dxa"/>
              <w:right w:w="55" w:type="dxa"/>
            </w:tcMar>
            <w:vAlign w:val="center"/>
          </w:tcPr>
          <w:p w:rsidR="00411288" w:rsidRPr="007D20FB" w:rsidRDefault="00411288" w:rsidP="00DC69E0">
            <w:pPr>
              <w:tabs>
                <w:tab w:val="left" w:pos="6600"/>
              </w:tabs>
              <w:contextualSpacing/>
              <w:jc w:val="center"/>
              <w:rPr>
                <w:bCs/>
                <w:sz w:val="20"/>
                <w:szCs w:val="20"/>
                <w:lang w:eastAsia="zh-CN"/>
              </w:rPr>
            </w:pPr>
            <w:r w:rsidRPr="007D20FB">
              <w:rPr>
                <w:bCs/>
                <w:sz w:val="20"/>
                <w:szCs w:val="20"/>
                <w:lang w:eastAsia="zh-CN"/>
              </w:rPr>
              <w:t>5.</w:t>
            </w:r>
          </w:p>
        </w:tc>
        <w:tc>
          <w:tcPr>
            <w:tcW w:w="1192" w:type="dxa"/>
            <w:vMerge/>
            <w:tcBorders>
              <w:right w:val="single" w:sz="4" w:space="0" w:color="auto"/>
            </w:tcBorders>
            <w:tcMar>
              <w:top w:w="55" w:type="dxa"/>
              <w:left w:w="55" w:type="dxa"/>
              <w:bottom w:w="55" w:type="dxa"/>
              <w:right w:w="55" w:type="dxa"/>
            </w:tcMar>
          </w:tcPr>
          <w:p w:rsidR="00411288" w:rsidRPr="007D20FB" w:rsidRDefault="00411288" w:rsidP="00DC69E0">
            <w:pPr>
              <w:tabs>
                <w:tab w:val="left" w:pos="6600"/>
              </w:tabs>
              <w:contextualSpacing/>
              <w:jc w:val="center"/>
              <w:rPr>
                <w:bCs/>
                <w:sz w:val="20"/>
                <w:szCs w:val="20"/>
                <w:lang w:eastAsia="zh-CN"/>
              </w:rPr>
            </w:pPr>
          </w:p>
        </w:tc>
        <w:tc>
          <w:tcPr>
            <w:tcW w:w="1559" w:type="dxa"/>
            <w:tcBorders>
              <w:right w:val="single" w:sz="4" w:space="0" w:color="auto"/>
            </w:tcBorders>
          </w:tcPr>
          <w:p w:rsidR="00411288" w:rsidRPr="007D20FB" w:rsidRDefault="00411288" w:rsidP="00DC69E0">
            <w:pPr>
              <w:tabs>
                <w:tab w:val="left" w:pos="6600"/>
              </w:tabs>
              <w:contextualSpacing/>
              <w:jc w:val="center"/>
              <w:rPr>
                <w:bCs/>
                <w:sz w:val="20"/>
                <w:szCs w:val="20"/>
                <w:lang w:eastAsia="zh-CN"/>
              </w:rPr>
            </w:pPr>
            <w:r w:rsidRPr="007D20FB">
              <w:rPr>
                <w:rFonts w:eastAsia="Andale Sans UI"/>
                <w:sz w:val="20"/>
                <w:szCs w:val="20"/>
                <w:lang w:eastAsia="fa-IR" w:bidi="fa-IR"/>
              </w:rPr>
              <w:t xml:space="preserve">Выполнение работ для обеспечения инвалидов и отдельных категорий граждан из числа ветеранов протезами </w:t>
            </w:r>
            <w:r>
              <w:rPr>
                <w:rFonts w:eastAsia="Andale Sans UI"/>
                <w:sz w:val="20"/>
                <w:szCs w:val="20"/>
                <w:lang w:eastAsia="fa-IR" w:bidi="fa-IR"/>
              </w:rPr>
              <w:t xml:space="preserve">голени </w:t>
            </w:r>
            <w:r w:rsidRPr="007D20FB">
              <w:rPr>
                <w:rFonts w:eastAsia="Andale Sans UI"/>
                <w:sz w:val="20"/>
                <w:szCs w:val="20"/>
                <w:lang w:eastAsia="fa-IR" w:bidi="fa-IR"/>
              </w:rPr>
              <w:t>модульными, в том числе при врожденном недоразвитии</w:t>
            </w:r>
          </w:p>
        </w:tc>
        <w:tc>
          <w:tcPr>
            <w:tcW w:w="4111" w:type="dxa"/>
            <w:tcBorders>
              <w:left w:val="single" w:sz="4" w:space="0" w:color="auto"/>
            </w:tcBorders>
          </w:tcPr>
          <w:p w:rsidR="00411288" w:rsidRPr="007D20FB" w:rsidRDefault="00411288" w:rsidP="00DC69E0">
            <w:pPr>
              <w:contextualSpacing/>
              <w:jc w:val="both"/>
              <w:rPr>
                <w:bCs/>
                <w:sz w:val="20"/>
                <w:szCs w:val="20"/>
                <w:lang w:eastAsia="zh-CN"/>
              </w:rPr>
            </w:pPr>
            <w:r w:rsidRPr="00CD47A5">
              <w:rPr>
                <w:bCs/>
                <w:sz w:val="20"/>
                <w:szCs w:val="20"/>
                <w:lang w:eastAsia="zh-CN"/>
              </w:rPr>
              <w:t xml:space="preserve">Протез голени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w:t>
            </w:r>
            <w:proofErr w:type="spellStart"/>
            <w:r w:rsidRPr="00CD47A5">
              <w:rPr>
                <w:bCs/>
                <w:sz w:val="20"/>
                <w:szCs w:val="20"/>
                <w:lang w:eastAsia="zh-CN"/>
              </w:rPr>
              <w:t>перлоновые</w:t>
            </w:r>
            <w:proofErr w:type="spellEnd"/>
            <w:r w:rsidRPr="00CD47A5">
              <w:rPr>
                <w:bCs/>
                <w:sz w:val="20"/>
                <w:szCs w:val="20"/>
                <w:lang w:eastAsia="zh-CN"/>
              </w:rPr>
              <w:t xml:space="preserve"> или </w:t>
            </w:r>
            <w:proofErr w:type="spellStart"/>
            <w:r w:rsidRPr="00CD47A5">
              <w:rPr>
                <w:bCs/>
                <w:sz w:val="20"/>
                <w:szCs w:val="20"/>
                <w:lang w:eastAsia="zh-CN"/>
              </w:rPr>
              <w:t>силоновые</w:t>
            </w:r>
            <w:proofErr w:type="spellEnd"/>
            <w:r w:rsidRPr="00CD47A5">
              <w:rPr>
                <w:bCs/>
                <w:sz w:val="20"/>
                <w:szCs w:val="20"/>
                <w:lang w:eastAsia="zh-CN"/>
              </w:rPr>
              <w:t>, допускается покрытие защитное плёночное. Приёмная гильза индивидуальная (одна пробная гильза). Материал индивидуальной постоянной гильзы: карбон. Смягчение полимерным чехлом или вкладышем из смягчающих материалов. Крепление с использованием замка или вакуума. Регулировочно-соеди</w:t>
            </w:r>
            <w:r>
              <w:rPr>
                <w:bCs/>
                <w:sz w:val="20"/>
                <w:szCs w:val="20"/>
                <w:lang w:eastAsia="zh-CN"/>
              </w:rPr>
              <w:t xml:space="preserve">нительные </w:t>
            </w:r>
            <w:r w:rsidRPr="00CD47A5">
              <w:rPr>
                <w:bCs/>
                <w:sz w:val="20"/>
                <w:szCs w:val="20"/>
                <w:lang w:eastAsia="zh-CN"/>
              </w:rPr>
              <w:t>устройства должны соответствовать весу инвалида. Стопа с высоким уровнем энергосбережения. Тип протеза: постоянный.</w:t>
            </w:r>
          </w:p>
        </w:tc>
        <w:tc>
          <w:tcPr>
            <w:tcW w:w="7229" w:type="dxa"/>
            <w:vMerge/>
            <w:tcBorders>
              <w:left w:val="single" w:sz="1" w:space="0" w:color="000000"/>
              <w:right w:val="single" w:sz="1" w:space="0" w:color="000000"/>
            </w:tcBorders>
          </w:tcPr>
          <w:p w:rsidR="00411288" w:rsidRPr="007D20FB" w:rsidRDefault="00411288" w:rsidP="00DC69E0">
            <w:pPr>
              <w:shd w:val="clear" w:color="auto" w:fill="FFFFFF"/>
              <w:autoSpaceDE w:val="0"/>
              <w:ind w:left="131" w:right="131"/>
              <w:jc w:val="center"/>
              <w:rPr>
                <w:rFonts w:eastAsia="Arial"/>
                <w:b/>
                <w:sz w:val="20"/>
                <w:szCs w:val="20"/>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411288" w:rsidRPr="007D20FB" w:rsidRDefault="00411288" w:rsidP="00DC69E0">
            <w:pPr>
              <w:jc w:val="center"/>
              <w:rPr>
                <w:sz w:val="20"/>
                <w:szCs w:val="20"/>
                <w:lang w:eastAsia="zh-CN"/>
              </w:rPr>
            </w:pPr>
            <w:r>
              <w:rPr>
                <w:sz w:val="20"/>
                <w:szCs w:val="20"/>
                <w:lang w:eastAsia="zh-CN"/>
              </w:rPr>
              <w:t>1</w:t>
            </w:r>
          </w:p>
        </w:tc>
      </w:tr>
      <w:tr w:rsidR="00411288" w:rsidRPr="007D20FB" w:rsidTr="00DC69E0">
        <w:trPr>
          <w:trHeight w:val="213"/>
        </w:trPr>
        <w:tc>
          <w:tcPr>
            <w:tcW w:w="14517" w:type="dxa"/>
            <w:gridSpan w:val="5"/>
            <w:tcBorders>
              <w:right w:val="single" w:sz="1" w:space="0" w:color="000000"/>
            </w:tcBorders>
            <w:tcMar>
              <w:top w:w="55" w:type="dxa"/>
              <w:left w:w="55" w:type="dxa"/>
              <w:bottom w:w="55" w:type="dxa"/>
              <w:right w:w="55" w:type="dxa"/>
            </w:tcMar>
            <w:vAlign w:val="center"/>
          </w:tcPr>
          <w:p w:rsidR="00411288" w:rsidRPr="007D20FB" w:rsidRDefault="00411288" w:rsidP="00DC69E0">
            <w:pPr>
              <w:shd w:val="clear" w:color="auto" w:fill="FFFFFF"/>
              <w:autoSpaceDE w:val="0"/>
              <w:ind w:left="131" w:right="131"/>
              <w:jc w:val="right"/>
              <w:rPr>
                <w:rFonts w:eastAsia="Arial"/>
                <w:b/>
                <w:sz w:val="20"/>
                <w:szCs w:val="20"/>
              </w:rPr>
            </w:pPr>
            <w:r w:rsidRPr="007D20FB">
              <w:rPr>
                <w:rFonts w:eastAsia="Arial"/>
                <w:b/>
                <w:sz w:val="20"/>
                <w:szCs w:val="20"/>
              </w:rPr>
              <w:t>ИТОГО:</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411288" w:rsidRPr="007D20FB" w:rsidRDefault="00411288" w:rsidP="00DC69E0">
            <w:pPr>
              <w:jc w:val="center"/>
              <w:rPr>
                <w:sz w:val="20"/>
                <w:szCs w:val="20"/>
                <w:lang w:eastAsia="zh-CN"/>
              </w:rPr>
            </w:pPr>
            <w:r>
              <w:rPr>
                <w:sz w:val="20"/>
                <w:szCs w:val="20"/>
                <w:lang w:eastAsia="zh-CN"/>
              </w:rPr>
              <w:t>46</w:t>
            </w:r>
          </w:p>
        </w:tc>
      </w:tr>
    </w:tbl>
    <w:p w:rsidR="00411288" w:rsidRDefault="00411288" w:rsidP="00411288"/>
    <w:p w:rsidR="00411288" w:rsidRDefault="00411288" w:rsidP="00411288">
      <w:pPr>
        <w:widowControl w:val="0"/>
        <w:tabs>
          <w:tab w:val="left" w:pos="0"/>
        </w:tabs>
        <w:ind w:firstLine="709"/>
        <w:rPr>
          <w:sz w:val="22"/>
          <w:szCs w:val="22"/>
        </w:rPr>
      </w:pPr>
    </w:p>
    <w:p w:rsidR="00C77E76" w:rsidRDefault="00C77E76">
      <w:bookmarkStart w:id="0" w:name="_GoBack"/>
      <w:bookmarkEnd w:id="0"/>
    </w:p>
    <w:sectPr w:rsidR="00C77E76" w:rsidSect="0041128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88" w:rsidRDefault="00411288" w:rsidP="00411288">
      <w:pPr>
        <w:spacing w:line="240" w:lineRule="auto"/>
      </w:pPr>
      <w:r>
        <w:separator/>
      </w:r>
    </w:p>
  </w:endnote>
  <w:endnote w:type="continuationSeparator" w:id="0">
    <w:p w:rsidR="00411288" w:rsidRDefault="00411288" w:rsidP="00411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88" w:rsidRDefault="00411288" w:rsidP="00411288">
      <w:pPr>
        <w:spacing w:line="240" w:lineRule="auto"/>
      </w:pPr>
      <w:r>
        <w:separator/>
      </w:r>
    </w:p>
  </w:footnote>
  <w:footnote w:type="continuationSeparator" w:id="0">
    <w:p w:rsidR="00411288" w:rsidRDefault="00411288" w:rsidP="00411288">
      <w:pPr>
        <w:spacing w:line="240" w:lineRule="auto"/>
      </w:pPr>
      <w:r>
        <w:continuationSeparator/>
      </w:r>
    </w:p>
  </w:footnote>
  <w:footnote w:id="1">
    <w:p w:rsidR="00411288" w:rsidRPr="00D62BC7" w:rsidRDefault="00411288" w:rsidP="00411288">
      <w:pPr>
        <w:pStyle w:val="a3"/>
        <w:ind w:right="-285"/>
        <w:jc w:val="both"/>
        <w:rPr>
          <w:sz w:val="16"/>
          <w:szCs w:val="16"/>
        </w:rPr>
      </w:pPr>
      <w:r w:rsidRPr="007F5475">
        <w:rPr>
          <w:rStyle w:val="a5"/>
          <w:sz w:val="18"/>
          <w:szCs w:val="18"/>
        </w:rPr>
        <w:footnoteRef/>
      </w:r>
      <w:r w:rsidRPr="00294B1E">
        <w:rPr>
          <w:sz w:val="18"/>
          <w:szCs w:val="18"/>
        </w:rPr>
        <w:t xml:space="preserve"> </w:t>
      </w:r>
      <w:r w:rsidRPr="00D62BC7">
        <w:rPr>
          <w:sz w:val="16"/>
          <w:szCs w:val="16"/>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D62BC7">
        <w:rPr>
          <w:sz w:val="16"/>
          <w:szCs w:val="16"/>
        </w:rPr>
        <w:t>абилитации</w:t>
      </w:r>
      <w:proofErr w:type="spellEnd"/>
      <w:r w:rsidRPr="00D62BC7">
        <w:rPr>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411288" w:rsidRPr="00927674" w:rsidRDefault="00411288" w:rsidP="00411288">
      <w:pPr>
        <w:pStyle w:val="a3"/>
        <w:jc w:val="both"/>
        <w:rPr>
          <w:sz w:val="18"/>
        </w:rPr>
      </w:pPr>
      <w:r w:rsidRPr="00D62BC7">
        <w:rPr>
          <w:rStyle w:val="a5"/>
          <w:sz w:val="16"/>
          <w:szCs w:val="16"/>
        </w:rPr>
        <w:footnoteRef/>
      </w:r>
      <w:r w:rsidRPr="00D62BC7">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D8"/>
    <w:rsid w:val="001718D8"/>
    <w:rsid w:val="00411288"/>
    <w:rsid w:val="00C7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0E32F-660C-4AB7-B869-B4B8DB3E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288"/>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411288"/>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411288"/>
    <w:rPr>
      <w:rFonts w:ascii="Times New Roman" w:eastAsia="Times New Roman" w:hAnsi="Times New Roman" w:cs="Times New Roman"/>
      <w:kern w:val="1"/>
      <w:sz w:val="20"/>
      <w:szCs w:val="20"/>
      <w:lang w:eastAsia="ar-SA"/>
    </w:rPr>
  </w:style>
  <w:style w:type="character" w:styleId="a5">
    <w:name w:val="footnote reference"/>
    <w:aliases w:val="Ссылка на сноску 45"/>
    <w:uiPriority w:val="99"/>
    <w:rsid w:val="00411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2022-10-11T16:55:00Z</dcterms:created>
  <dcterms:modified xsi:type="dcterms:W3CDTF">2022-10-11T16:57:00Z</dcterms:modified>
</cp:coreProperties>
</file>