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F2513" w:rsidRDefault="00FF2513" w:rsidP="003331CF">
      <w:pPr>
        <w:widowControl w:val="0"/>
        <w:rPr>
          <w:b/>
        </w:rPr>
      </w:pPr>
    </w:p>
    <w:p w:rsidR="00FF2513" w:rsidRPr="00FF2513" w:rsidRDefault="00FF2513" w:rsidP="00FF2513">
      <w:pPr>
        <w:widowControl w:val="0"/>
        <w:jc w:val="both"/>
        <w:rPr>
          <w:b/>
        </w:rPr>
      </w:pPr>
    </w:p>
    <w:p w:rsidR="00FB7EC5" w:rsidRPr="00EC4FB1" w:rsidRDefault="00FF2513" w:rsidP="00EC4FB1">
      <w:pPr>
        <w:widowControl w:val="0"/>
        <w:ind w:firstLine="72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1D2F5A" w:rsidRDefault="001D2F5A" w:rsidP="00EE76F7">
      <w:pPr>
        <w:pStyle w:val="aff4"/>
        <w:rPr>
          <w:b/>
          <w:sz w:val="22"/>
          <w:szCs w:val="22"/>
        </w:rPr>
      </w:pPr>
    </w:p>
    <w:p w:rsidR="007879BF" w:rsidRPr="007879BF" w:rsidRDefault="007879BF" w:rsidP="007879BF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5"/>
          <w:szCs w:val="25"/>
          <w:lang w:eastAsia="ar-SA"/>
        </w:rPr>
      </w:pPr>
      <w:r w:rsidRPr="007879BF">
        <w:rPr>
          <w:b/>
          <w:sz w:val="25"/>
          <w:szCs w:val="25"/>
          <w:lang w:eastAsia="ar-SA"/>
        </w:rPr>
        <w:t>1. Наименование объекта закупки:</w:t>
      </w:r>
      <w:r w:rsidRPr="007879BF">
        <w:rPr>
          <w:bCs/>
          <w:sz w:val="25"/>
          <w:szCs w:val="25"/>
          <w:lang w:eastAsia="ar-SA"/>
        </w:rPr>
        <w:t xml:space="preserve"> оказание услуг по обеспечению слуховыми аппаратами в 2024 году.</w:t>
      </w:r>
    </w:p>
    <w:p w:rsidR="007879BF" w:rsidRPr="007879BF" w:rsidRDefault="007879BF" w:rsidP="007879BF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ar-SA"/>
        </w:rPr>
      </w:pPr>
      <w:r w:rsidRPr="007879BF">
        <w:rPr>
          <w:b/>
          <w:sz w:val="25"/>
          <w:szCs w:val="25"/>
          <w:lang w:eastAsia="ar-SA"/>
        </w:rPr>
        <w:t xml:space="preserve">2. Место оказания услуг: </w:t>
      </w:r>
      <w:r w:rsidRPr="007879BF">
        <w:rPr>
          <w:sz w:val="25"/>
          <w:szCs w:val="25"/>
          <w:lang w:eastAsia="ar-SA"/>
        </w:rPr>
        <w:t xml:space="preserve">Тюменская область, г. Тюмень. Осмотр получателя, подбор, выдача изделий, гарантийное обслуживание должно осуществляться на территории г. Тюмень. </w:t>
      </w:r>
    </w:p>
    <w:p w:rsidR="007879BF" w:rsidRPr="007879BF" w:rsidRDefault="007879BF" w:rsidP="007879BF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ar-SA"/>
        </w:rPr>
      </w:pPr>
      <w:r w:rsidRPr="007879BF">
        <w:rPr>
          <w:sz w:val="25"/>
          <w:szCs w:val="25"/>
          <w:lang w:eastAsia="ar-SA"/>
        </w:rPr>
        <w:t>Помещения, в которых оказываются услуги,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081D8E" w:rsidRPr="00081D8E" w:rsidRDefault="007879BF" w:rsidP="00081D8E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  <w:lang w:eastAsia="ar-SA"/>
        </w:rPr>
      </w:pPr>
      <w:r w:rsidRPr="007879BF">
        <w:rPr>
          <w:b/>
          <w:sz w:val="25"/>
          <w:szCs w:val="25"/>
          <w:lang w:eastAsia="ar-SA"/>
        </w:rPr>
        <w:t>3. Срок оказания услуг</w:t>
      </w:r>
      <w:r w:rsidRPr="007879BF">
        <w:rPr>
          <w:spacing w:val="1"/>
          <w:sz w:val="25"/>
          <w:szCs w:val="25"/>
          <w:lang w:eastAsia="ar-SA"/>
        </w:rPr>
        <w:t xml:space="preserve">: </w:t>
      </w:r>
      <w:r w:rsidR="00081D8E" w:rsidRPr="00081D8E">
        <w:rPr>
          <w:spacing w:val="1"/>
          <w:sz w:val="25"/>
          <w:szCs w:val="25"/>
          <w:lang w:eastAsia="ar-SA"/>
        </w:rPr>
        <w:t xml:space="preserve">с даты заключения государственного контракта до 31 июля 2024 года (включительно). </w:t>
      </w:r>
    </w:p>
    <w:p w:rsidR="007879BF" w:rsidRPr="007879BF" w:rsidRDefault="00081D8E" w:rsidP="00081D8E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  <w:lang w:eastAsia="ar-SA"/>
        </w:rPr>
      </w:pPr>
      <w:r w:rsidRPr="00081D8E">
        <w:rPr>
          <w:spacing w:val="1"/>
          <w:sz w:val="25"/>
          <w:szCs w:val="25"/>
          <w:lang w:eastAsia="ar-SA"/>
        </w:rPr>
        <w:t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обеспечения Получателя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 со дня обращения Пол</w:t>
      </w:r>
      <w:r>
        <w:rPr>
          <w:spacing w:val="1"/>
          <w:sz w:val="25"/>
          <w:szCs w:val="25"/>
          <w:lang w:eastAsia="ar-SA"/>
        </w:rPr>
        <w:t>учателя в указанную организацию</w:t>
      </w:r>
      <w:r w:rsidR="007879BF" w:rsidRPr="007879BF">
        <w:rPr>
          <w:spacing w:val="1"/>
          <w:sz w:val="25"/>
          <w:szCs w:val="25"/>
          <w:lang w:eastAsia="ar-SA"/>
        </w:rPr>
        <w:t>.</w:t>
      </w:r>
    </w:p>
    <w:p w:rsidR="0001665B" w:rsidRPr="0001665B" w:rsidRDefault="0001665B" w:rsidP="0001665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5"/>
          <w:szCs w:val="25"/>
          <w:lang w:eastAsia="ar-SA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01665B">
        <w:rPr>
          <w:rFonts w:eastAsia="Calibri"/>
          <w:b/>
          <w:sz w:val="25"/>
          <w:szCs w:val="25"/>
          <w:lang w:eastAsia="en-US"/>
        </w:rPr>
        <w:t xml:space="preserve">4. Условия оказания услуг: </w:t>
      </w:r>
      <w:r w:rsidRPr="0001665B">
        <w:rPr>
          <w:rFonts w:eastAsia="Calibri"/>
          <w:sz w:val="25"/>
          <w:szCs w:val="25"/>
          <w:lang w:eastAsia="en-US"/>
        </w:rPr>
        <w:t>Исполнитель должен</w:t>
      </w:r>
      <w:r w:rsidRPr="0001665B">
        <w:rPr>
          <w:rFonts w:eastAsia="Calibri"/>
          <w:b/>
          <w:sz w:val="25"/>
          <w:szCs w:val="25"/>
          <w:lang w:eastAsia="en-US"/>
        </w:rPr>
        <w:t xml:space="preserve"> </w:t>
      </w:r>
      <w:r w:rsidRPr="0001665B">
        <w:rPr>
          <w:rFonts w:eastAsia="Calibri"/>
          <w:sz w:val="25"/>
          <w:szCs w:val="25"/>
          <w:lang w:eastAsia="en-US"/>
        </w:rPr>
        <w:t>согласовать с Получателем место и время оказания услуги. Не позднее, чем за 1 календарный день проинформировать Получателей о дате, времени и месте.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>Оказание услуг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>Обеспечение техническим средством реабилитации - слуховым аппаратом является комплексным реабилитационным мероприятием, которое должно включать в себя:</w:t>
      </w:r>
    </w:p>
    <w:p w:rsidR="0001665B" w:rsidRPr="0001665B" w:rsidRDefault="0001665B" w:rsidP="0001665B">
      <w:pPr>
        <w:widowControl w:val="0"/>
        <w:spacing w:line="245" w:lineRule="auto"/>
        <w:contextualSpacing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- проведение осмотра Получателя врачом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сурдологом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 -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оториноларингологом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, </w:t>
      </w:r>
    </w:p>
    <w:p w:rsidR="0001665B" w:rsidRPr="0001665B" w:rsidRDefault="0001665B" w:rsidP="0001665B">
      <w:pPr>
        <w:widowControl w:val="0"/>
        <w:spacing w:line="245" w:lineRule="auto"/>
        <w:contextualSpacing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>- подбор слухового аппарата согласно аудиометрическим данным Получателя, а также согласно медицинским рекомендациям,</w:t>
      </w:r>
    </w:p>
    <w:p w:rsidR="0001665B" w:rsidRPr="0001665B" w:rsidRDefault="0001665B" w:rsidP="0001665B">
      <w:pPr>
        <w:widowControl w:val="0"/>
        <w:spacing w:line="245" w:lineRule="auto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- если согласно аудиометрическим данным получателю требуется изготовить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внутриушной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 слуховой аппарат, то врачом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сурдологом-оториноларингологом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 должен быть проведен комплекс следующих мероприятий: снятие слепка ушного прохода получателя и изготовление корпуса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внутриушного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 слухового аппарата на основе снятого слепка ушного прохода получателя,</w:t>
      </w:r>
    </w:p>
    <w:p w:rsidR="0001665B" w:rsidRPr="0001665B" w:rsidRDefault="0001665B" w:rsidP="0001665B">
      <w:pPr>
        <w:widowControl w:val="0"/>
        <w:spacing w:line="245" w:lineRule="auto"/>
        <w:contextualSpacing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- индивидуальную настройку слухового аппарата, </w:t>
      </w:r>
      <w:r w:rsidRPr="0001665B">
        <w:rPr>
          <w:rFonts w:eastAsia="Calibri"/>
          <w:sz w:val="25"/>
          <w:szCs w:val="25"/>
          <w:lang w:eastAsia="en-US"/>
        </w:rPr>
        <w:tab/>
      </w:r>
    </w:p>
    <w:p w:rsidR="0001665B" w:rsidRPr="0001665B" w:rsidRDefault="0001665B" w:rsidP="0001665B">
      <w:pPr>
        <w:widowControl w:val="0"/>
        <w:spacing w:line="245" w:lineRule="auto"/>
        <w:contextualSpacing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- инструктаж, консультационную помощь по правильному пользованию слуховым аппаратом, </w:t>
      </w:r>
    </w:p>
    <w:p w:rsidR="0001665B" w:rsidRPr="0001665B" w:rsidRDefault="0001665B" w:rsidP="0001665B">
      <w:pPr>
        <w:widowControl w:val="0"/>
        <w:spacing w:line="245" w:lineRule="auto"/>
        <w:contextualSpacing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>- выдачу слухового аппарата Получателю.</w:t>
      </w:r>
    </w:p>
    <w:p w:rsidR="0001665B" w:rsidRPr="0001665B" w:rsidRDefault="0001665B" w:rsidP="0001665B">
      <w:pPr>
        <w:widowControl w:val="0"/>
        <w:spacing w:line="245" w:lineRule="auto"/>
        <w:contextualSpacing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lastRenderedPageBreak/>
        <w:t>- разъяснение Получателю требования к условиям эксплуатации Товара, порядок обеспечения гарантийного ремонта Товара, а также вручение гарантийного талона.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Исполнитель должен производить подбор и индивидуальную настройку слухового аппарата при наличии соответствующей лицензии на оказание услуг по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сурдологии</w:t>
      </w:r>
      <w:proofErr w:type="spellEnd"/>
      <w:r w:rsidRPr="0001665B">
        <w:rPr>
          <w:rFonts w:eastAsia="Calibri"/>
          <w:sz w:val="25"/>
          <w:szCs w:val="25"/>
          <w:lang w:eastAsia="en-US"/>
        </w:rPr>
        <w:t>-оториноларингологии на территории Тюменской области в соответствии Федеральным законом от 04.05.2011 г. № 99-ФЗ; постановлением Правительства РФ от 01.06.2021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 При осуществлении деятельности по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слухопротезированию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 в соответствии с профессиональным стандартом «Специалист в области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слухопротезирования</w:t>
      </w:r>
      <w:proofErr w:type="spellEnd"/>
      <w:r w:rsidRPr="0001665B">
        <w:rPr>
          <w:rFonts w:eastAsia="Calibri"/>
          <w:sz w:val="25"/>
          <w:szCs w:val="25"/>
          <w:lang w:eastAsia="en-US"/>
        </w:rPr>
        <w:t xml:space="preserve"> (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сурдоакустик</w:t>
      </w:r>
      <w:proofErr w:type="spellEnd"/>
      <w:r w:rsidRPr="0001665B">
        <w:rPr>
          <w:rFonts w:eastAsia="Calibri"/>
          <w:sz w:val="25"/>
          <w:szCs w:val="25"/>
          <w:lang w:eastAsia="en-US"/>
        </w:rPr>
        <w:t>)», утвержденным приказом Министерства труда и социальной защиты Российской Федерации от 10.05.2016 № 226н, Исполнитель должен предоставить Заказчику документ, подтверждающий квалификацию специалиста.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В случае отсутствия лицензии Исполнитель должен привлечь организацию, имеющую лицензию на соответствующий вид деятельности, врача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сурдолога-оториноларинголога</w:t>
      </w:r>
      <w:proofErr w:type="spellEnd"/>
      <w:r w:rsidRPr="0001665B">
        <w:rPr>
          <w:rFonts w:eastAsia="Calibri"/>
          <w:sz w:val="25"/>
          <w:szCs w:val="25"/>
          <w:lang w:eastAsia="en-US"/>
        </w:rPr>
        <w:t>, которой будет производить подбор и настройку слуховых аппаратов Получателям на территории Тюменской области</w:t>
      </w:r>
      <w:r>
        <w:rPr>
          <w:rFonts w:eastAsia="Calibri"/>
          <w:sz w:val="25"/>
          <w:szCs w:val="25"/>
          <w:lang w:eastAsia="en-US"/>
        </w:rPr>
        <w:t>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01665B">
        <w:rPr>
          <w:rFonts w:eastAsia="Calibri"/>
          <w:sz w:val="25"/>
          <w:szCs w:val="25"/>
          <w:lang w:eastAsia="en-US"/>
        </w:rPr>
        <w:t xml:space="preserve">В случае организации оказания Услуг через соисполнителя в течение 1 (одного) рабочего дня информировать об этом Заказчика в письменном виде, в том числе путем представления доверенности (соответствующего договора) о </w:t>
      </w:r>
      <w:proofErr w:type="spellStart"/>
      <w:r w:rsidRPr="0001665B">
        <w:rPr>
          <w:rFonts w:eastAsia="Calibri"/>
          <w:sz w:val="25"/>
          <w:szCs w:val="25"/>
          <w:lang w:eastAsia="en-US"/>
        </w:rPr>
        <w:t>соисполнительстве</w:t>
      </w:r>
      <w:proofErr w:type="spellEnd"/>
      <w:r w:rsidRPr="0001665B">
        <w:rPr>
          <w:rFonts w:eastAsia="Calibri"/>
          <w:sz w:val="25"/>
          <w:szCs w:val="25"/>
          <w:lang w:eastAsia="en-US"/>
        </w:rPr>
        <w:t>. При этом всю ответственность за оказание Контракта перед Заказчиком несет Исполнитель.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b/>
          <w:sz w:val="25"/>
          <w:szCs w:val="25"/>
          <w:lang w:eastAsia="ar-SA"/>
        </w:rPr>
      </w:pPr>
      <w:r w:rsidRPr="0001665B">
        <w:rPr>
          <w:b/>
          <w:sz w:val="25"/>
          <w:szCs w:val="25"/>
          <w:lang w:eastAsia="ar-SA"/>
        </w:rPr>
        <w:t xml:space="preserve">5. Требования к техническим, качественным и функциональным характеристикам товара: </w:t>
      </w:r>
      <w:r w:rsidRPr="0001665B">
        <w:rPr>
          <w:sz w:val="25"/>
          <w:szCs w:val="25"/>
          <w:lang w:eastAsia="ar-SA"/>
        </w:rPr>
        <w:t xml:space="preserve">слуховые аппараты – электроакустические звукоусиливающие устройства, носимые человеком и предназначенные для компенсации ограничений жизнедеятельности. Ушной вкладыш – устройство, соединяющее акустический выход слухового аппарата с наружным слуховым проходом и предназначенное для проведения усиленных акустических сигналов. </w:t>
      </w:r>
    </w:p>
    <w:p w:rsidR="0001665B" w:rsidRPr="0001665B" w:rsidRDefault="0001665B" w:rsidP="0001665B">
      <w:pPr>
        <w:widowControl w:val="0"/>
        <w:suppressAutoHyphens/>
        <w:spacing w:line="245" w:lineRule="auto"/>
        <w:ind w:firstLine="709"/>
        <w:contextualSpacing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Комплектность слухового аппарата: </w:t>
      </w:r>
    </w:p>
    <w:p w:rsidR="0001665B" w:rsidRPr="0001665B" w:rsidRDefault="0001665B" w:rsidP="0001665B">
      <w:pPr>
        <w:suppressAutoHyphens/>
        <w:ind w:left="709" w:hanging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- слуховой аппарат; </w:t>
      </w:r>
    </w:p>
    <w:p w:rsidR="0001665B" w:rsidRPr="0001665B" w:rsidRDefault="0001665B" w:rsidP="0001665B">
      <w:pPr>
        <w:suppressAutoHyphens/>
        <w:ind w:left="709" w:hanging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- элемент питания; </w:t>
      </w:r>
    </w:p>
    <w:p w:rsidR="0001665B" w:rsidRPr="0001665B" w:rsidRDefault="0001665B" w:rsidP="0001665B">
      <w:pPr>
        <w:suppressAutoHyphens/>
        <w:ind w:left="709" w:hanging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- ушной вкладыш стандартный; </w:t>
      </w:r>
    </w:p>
    <w:p w:rsidR="0001665B" w:rsidRPr="0001665B" w:rsidRDefault="0001665B" w:rsidP="0001665B">
      <w:pPr>
        <w:suppressAutoHyphens/>
        <w:ind w:left="709" w:hanging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- паспорт изделия или руководство по эксплуатации; </w:t>
      </w:r>
    </w:p>
    <w:p w:rsidR="0001665B" w:rsidRPr="0001665B" w:rsidRDefault="0001665B" w:rsidP="0001665B">
      <w:pPr>
        <w:suppressAutoHyphens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>- гарантийный талон с указанием адреса и номера контактного телефона сервисной службы, осуществляющий гарантийный ремонт.</w:t>
      </w:r>
    </w:p>
    <w:p w:rsidR="0001665B" w:rsidRPr="0001665B" w:rsidRDefault="0001665B" w:rsidP="0001665B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При выдаче слуховых аппаратов должен производится инструктаж Получателей по использованию слуховых аппаратов, и проверка слуховых аппаратов на соответствие заявленным функциям. </w:t>
      </w:r>
    </w:p>
    <w:p w:rsidR="0001665B" w:rsidRDefault="0001665B" w:rsidP="0001665B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>Изделия должны быть изготовлены в соответствии с требованиями Национального стандарта РФ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01665B" w:rsidRPr="0001665B" w:rsidRDefault="0001665B" w:rsidP="0001665B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01665B">
        <w:rPr>
          <w:bCs/>
          <w:sz w:val="25"/>
          <w:szCs w:val="25"/>
          <w:lang w:eastAsia="ar-SA"/>
        </w:rPr>
        <w:lastRenderedPageBreak/>
        <w:t>Общие требования к слуховым аппаратам, реализуемым на территории Российской Федерации, устанавливаются в соответствии с ГОСТ Р 51024-2012 «Аппараты слуховые электронные реабилитационные.</w:t>
      </w:r>
      <w:r w:rsidRPr="0001665B">
        <w:rPr>
          <w:sz w:val="25"/>
          <w:szCs w:val="25"/>
          <w:lang w:eastAsia="ar-SA"/>
        </w:rPr>
        <w:t xml:space="preserve"> Технические требования и методы испытаний»,</w:t>
      </w:r>
      <w:r w:rsidRPr="0001665B">
        <w:rPr>
          <w:bCs/>
          <w:sz w:val="25"/>
          <w:szCs w:val="25"/>
          <w:lang w:eastAsia="ar-SA"/>
        </w:rPr>
        <w:t xml:space="preserve"> ГОСТ 30880-2002 «Совместимость технических средств электромагнитная. Слуховые аппараты. Требования и методы испытаний».</w:t>
      </w:r>
    </w:p>
    <w:p w:rsidR="0001665B" w:rsidRPr="0001665B" w:rsidRDefault="0001665B" w:rsidP="0001665B">
      <w:pPr>
        <w:suppressAutoHyphens/>
        <w:ind w:firstLine="709"/>
        <w:jc w:val="both"/>
        <w:rPr>
          <w:bCs/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>Слуховые аппараты (максимальный ВУЗД, максимальное усиление, диапазон частот, регулировки ТНЧ, АРУ, ТВЧ и другие) должны соответствовать стандарту ГОСТ Р МЭК 60118-14-2003 «Аппараты слуховые программируемые. Технические требования к устройствам цифрового интерфейса. Размеры электрических соединений»</w:t>
      </w:r>
      <w:r w:rsidRPr="0001665B">
        <w:rPr>
          <w:bCs/>
          <w:sz w:val="25"/>
          <w:szCs w:val="25"/>
          <w:lang w:eastAsia="ar-SA"/>
        </w:rPr>
        <w:t>.</w:t>
      </w:r>
    </w:p>
    <w:p w:rsidR="0001665B" w:rsidRPr="0001665B" w:rsidRDefault="0001665B" w:rsidP="0001665B">
      <w:pPr>
        <w:suppressAutoHyphens/>
        <w:ind w:firstLine="708"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b/>
          <w:color w:val="000000"/>
          <w:spacing w:val="-2"/>
          <w:sz w:val="25"/>
          <w:szCs w:val="25"/>
          <w:lang w:eastAsia="ar-SA"/>
        </w:rPr>
        <w:t xml:space="preserve">6. Требования к маркировке и упаковке: </w:t>
      </w:r>
      <w:r w:rsidRPr="0001665B">
        <w:rPr>
          <w:rFonts w:eastAsia="Calibri"/>
          <w:sz w:val="25"/>
          <w:szCs w:val="25"/>
          <w:lang w:eastAsia="ar-SA"/>
        </w:rPr>
        <w:t>маркировка слуховых аппаратов должна содержать: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 xml:space="preserve">- товарный знак изготовителя (для </w:t>
      </w:r>
      <w:proofErr w:type="spellStart"/>
      <w:r w:rsidRPr="0001665B">
        <w:rPr>
          <w:rFonts w:eastAsia="Calibri"/>
          <w:sz w:val="25"/>
          <w:szCs w:val="25"/>
          <w:lang w:eastAsia="ar-SA"/>
        </w:rPr>
        <w:t>внутриушных</w:t>
      </w:r>
      <w:proofErr w:type="spellEnd"/>
      <w:r w:rsidRPr="0001665B">
        <w:rPr>
          <w:rFonts w:eastAsia="Calibri"/>
          <w:sz w:val="25"/>
          <w:szCs w:val="25"/>
          <w:lang w:eastAsia="ar-SA"/>
        </w:rPr>
        <w:t xml:space="preserve"> слуховых аппаратов допускается не наносить в случае наличия необходимых сведений об изготовителе в паспорте или руководстве по эксплуатации);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 xml:space="preserve">- обозначение модели (для </w:t>
      </w:r>
      <w:proofErr w:type="spellStart"/>
      <w:r w:rsidRPr="0001665B">
        <w:rPr>
          <w:rFonts w:eastAsia="Calibri"/>
          <w:sz w:val="25"/>
          <w:szCs w:val="25"/>
          <w:lang w:eastAsia="ar-SA"/>
        </w:rPr>
        <w:t>внутриушных</w:t>
      </w:r>
      <w:proofErr w:type="spellEnd"/>
      <w:r w:rsidRPr="0001665B">
        <w:rPr>
          <w:rFonts w:eastAsia="Calibri"/>
          <w:sz w:val="25"/>
          <w:szCs w:val="25"/>
          <w:lang w:eastAsia="ar-SA"/>
        </w:rPr>
        <w:t xml:space="preserve"> слуховых аппаратов допускается не наносить в случае наличия необходимых сведений в паспорте или руководстве по эксплуатации);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номер слуховых аппаратов по системе нумерации изготовителя.</w:t>
      </w:r>
    </w:p>
    <w:p w:rsidR="0001665B" w:rsidRPr="0001665B" w:rsidRDefault="0001665B" w:rsidP="0001665B">
      <w:pPr>
        <w:suppressAutoHyphens/>
        <w:ind w:firstLine="709"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Маркировка потребительской тары должна содержать: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страну-изготовителя;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наименование предприятия-изготовителя, юридический адрес, товарный знак (при наличии);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 xml:space="preserve">- обозначение модели слухового аппарата;  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количество Товара в упаковке;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дату (месяц, год) изготовления или гарантийный срок;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правила использования (при необходимости);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штриховой код изделия (при наличии);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- обозначение цвета корпуса при выпуске слуховых аппаратов различных цветов.</w:t>
      </w:r>
    </w:p>
    <w:p w:rsidR="0001665B" w:rsidRPr="0001665B" w:rsidRDefault="0001665B" w:rsidP="0001665B">
      <w:pPr>
        <w:suppressAutoHyphens/>
        <w:ind w:firstLine="709"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Упаковка слуховых аппаратов должна обеспечивать их защиту от повреждений, или загрязнения во время хранения.</w:t>
      </w:r>
    </w:p>
    <w:p w:rsidR="0001665B" w:rsidRPr="0001665B" w:rsidRDefault="0001665B" w:rsidP="0001665B">
      <w:pPr>
        <w:suppressAutoHyphens/>
        <w:ind w:firstLine="708"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b/>
          <w:sz w:val="25"/>
          <w:szCs w:val="25"/>
          <w:lang w:eastAsia="ar-SA"/>
        </w:rPr>
        <w:t xml:space="preserve">7. Гарантийный срок: </w:t>
      </w:r>
      <w:r w:rsidRPr="0001665B">
        <w:rPr>
          <w:rFonts w:eastAsia="Calibri"/>
          <w:sz w:val="25"/>
          <w:szCs w:val="25"/>
          <w:lang w:eastAsia="ar-SA"/>
        </w:rPr>
        <w:t>гарантийный срок эксплуатации не менее 12 месяцев. В течение гарантийного срока Исполнитель производит замену или ремонт изделия бесплатно.</w:t>
      </w:r>
    </w:p>
    <w:p w:rsidR="0001665B" w:rsidRPr="0001665B" w:rsidRDefault="0001665B" w:rsidP="0001665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 xml:space="preserve">           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:rsidR="0001665B" w:rsidRPr="0001665B" w:rsidRDefault="0001665B" w:rsidP="0001665B">
      <w:pPr>
        <w:suppressAutoHyphens/>
        <w:ind w:firstLine="709"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:rsidR="0001665B" w:rsidRPr="0001665B" w:rsidRDefault="0001665B" w:rsidP="0001665B">
      <w:pPr>
        <w:suppressAutoHyphens/>
        <w:ind w:firstLine="708"/>
        <w:jc w:val="both"/>
        <w:rPr>
          <w:rFonts w:eastAsia="Calibri"/>
          <w:sz w:val="25"/>
          <w:szCs w:val="25"/>
          <w:lang w:eastAsia="ar-SA"/>
        </w:rPr>
      </w:pPr>
      <w:r w:rsidRPr="0001665B">
        <w:rPr>
          <w:rFonts w:eastAsia="Calibri"/>
          <w:sz w:val="25"/>
          <w:szCs w:val="25"/>
          <w:lang w:eastAsia="ar-SA"/>
        </w:rPr>
        <w:t xml:space="preserve"> </w:t>
      </w:r>
      <w:r w:rsidRPr="0001665B">
        <w:rPr>
          <w:b/>
          <w:sz w:val="25"/>
          <w:szCs w:val="25"/>
          <w:lang w:eastAsia="ar-SA"/>
        </w:rPr>
        <w:t>8. Требования к гарантии:</w:t>
      </w:r>
      <w:r w:rsidRPr="0001665B">
        <w:rPr>
          <w:sz w:val="25"/>
          <w:szCs w:val="25"/>
          <w:lang w:eastAsia="ar-SA"/>
        </w:rPr>
        <w:t xml:space="preserve">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01665B" w:rsidRPr="0001665B" w:rsidRDefault="0001665B" w:rsidP="0001665B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Обязательно указание адресов специализированных мастерских, на территории Тюменской области, в которые следует обращаться для гарантийного ремонта изделия или устранения неисправностей. </w:t>
      </w:r>
    </w:p>
    <w:p w:rsidR="0001665B" w:rsidRPr="0001665B" w:rsidRDefault="0001665B" w:rsidP="0001665B">
      <w:pPr>
        <w:suppressAutoHyphens/>
        <w:ind w:firstLine="708"/>
        <w:jc w:val="both"/>
        <w:rPr>
          <w:sz w:val="25"/>
          <w:szCs w:val="25"/>
          <w:lang w:eastAsia="ar-SA"/>
        </w:rPr>
      </w:pPr>
      <w:r w:rsidRPr="0001665B">
        <w:rPr>
          <w:b/>
          <w:sz w:val="25"/>
          <w:szCs w:val="25"/>
          <w:lang w:eastAsia="ar-SA"/>
        </w:rPr>
        <w:t>9. Требования к качеству товаров:</w:t>
      </w:r>
      <w:r w:rsidRPr="0001665B">
        <w:rPr>
          <w:sz w:val="25"/>
          <w:szCs w:val="25"/>
          <w:lang w:eastAsia="ar-SA"/>
        </w:rPr>
        <w:t xml:space="preserve"> на Товар должно иметься регистрационное удостоверение, действующие на момент заключения контракта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01665B" w:rsidRPr="0001665B" w:rsidRDefault="0001665B" w:rsidP="0001665B">
      <w:pPr>
        <w:suppressAutoHyphens/>
        <w:ind w:firstLine="708"/>
        <w:jc w:val="both"/>
        <w:rPr>
          <w:sz w:val="25"/>
          <w:szCs w:val="25"/>
          <w:lang w:eastAsia="ar-SA"/>
        </w:rPr>
      </w:pPr>
      <w:r w:rsidRPr="0001665B">
        <w:rPr>
          <w:b/>
          <w:sz w:val="25"/>
          <w:szCs w:val="25"/>
          <w:lang w:eastAsia="ar-SA"/>
        </w:rPr>
        <w:t>10. Требования к безопасности:</w:t>
      </w:r>
      <w:r w:rsidRPr="0001665B">
        <w:rPr>
          <w:sz w:val="25"/>
          <w:szCs w:val="25"/>
          <w:lang w:eastAsia="ar-SA"/>
        </w:rPr>
        <w:t xml:space="preserve"> материалы, применяемые при изготовлении и контактирующие с телом получателя, обладают биосовместимостью с кожными покровами </w:t>
      </w:r>
      <w:r w:rsidRPr="0001665B">
        <w:rPr>
          <w:sz w:val="25"/>
          <w:szCs w:val="25"/>
          <w:lang w:eastAsia="ar-SA"/>
        </w:rPr>
        <w:lastRenderedPageBreak/>
        <w:t>человека, не вызывают у него токсических и аллергических реакций в соответствии с требованиями серии стандартов:</w:t>
      </w:r>
    </w:p>
    <w:p w:rsidR="0001665B" w:rsidRPr="0001665B" w:rsidRDefault="0001665B" w:rsidP="0001665B">
      <w:pPr>
        <w:suppressAutoHyphens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>-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риска";</w:t>
      </w:r>
    </w:p>
    <w:p w:rsidR="0001665B" w:rsidRPr="0001665B" w:rsidRDefault="0001665B" w:rsidP="0001665B">
      <w:pPr>
        <w:suppressAutoHyphens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01665B">
        <w:rPr>
          <w:sz w:val="25"/>
          <w:szCs w:val="25"/>
          <w:lang w:eastAsia="ar-SA"/>
        </w:rPr>
        <w:t>цитотоксичность</w:t>
      </w:r>
      <w:proofErr w:type="spellEnd"/>
      <w:r w:rsidRPr="0001665B">
        <w:rPr>
          <w:sz w:val="25"/>
          <w:szCs w:val="25"/>
          <w:lang w:eastAsia="ar-SA"/>
        </w:rPr>
        <w:t xml:space="preserve">: методы </w:t>
      </w:r>
      <w:proofErr w:type="spellStart"/>
      <w:r w:rsidRPr="0001665B">
        <w:rPr>
          <w:sz w:val="25"/>
          <w:szCs w:val="25"/>
          <w:lang w:eastAsia="ar-SA"/>
        </w:rPr>
        <w:t>in</w:t>
      </w:r>
      <w:proofErr w:type="spellEnd"/>
      <w:r w:rsidRPr="0001665B">
        <w:rPr>
          <w:sz w:val="25"/>
          <w:szCs w:val="25"/>
          <w:lang w:eastAsia="ar-SA"/>
        </w:rPr>
        <w:t xml:space="preserve"> </w:t>
      </w:r>
      <w:proofErr w:type="spellStart"/>
      <w:r w:rsidRPr="0001665B">
        <w:rPr>
          <w:sz w:val="25"/>
          <w:szCs w:val="25"/>
          <w:lang w:eastAsia="ar-SA"/>
        </w:rPr>
        <w:t>vitro</w:t>
      </w:r>
      <w:proofErr w:type="spellEnd"/>
      <w:r w:rsidRPr="0001665B">
        <w:rPr>
          <w:sz w:val="25"/>
          <w:szCs w:val="25"/>
          <w:lang w:eastAsia="ar-SA"/>
        </w:rPr>
        <w:t>»;</w:t>
      </w:r>
    </w:p>
    <w:p w:rsidR="007879BF" w:rsidRPr="0001665B" w:rsidRDefault="0001665B" w:rsidP="007879BF">
      <w:pPr>
        <w:suppressAutoHyphens/>
        <w:jc w:val="both"/>
        <w:rPr>
          <w:sz w:val="25"/>
          <w:szCs w:val="25"/>
          <w:lang w:eastAsia="ar-SA"/>
        </w:rPr>
      </w:pPr>
      <w:r w:rsidRPr="0001665B">
        <w:rPr>
          <w:sz w:val="25"/>
          <w:szCs w:val="25"/>
          <w:lang w:eastAsia="ar-SA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7879BF" w:rsidRPr="007879BF" w:rsidRDefault="007879BF" w:rsidP="007879BF">
      <w:pPr>
        <w:suppressAutoHyphens/>
        <w:jc w:val="both"/>
        <w:rPr>
          <w:rFonts w:eastAsia="Arial"/>
          <w:b/>
          <w:kern w:val="1"/>
          <w:sz w:val="26"/>
          <w:szCs w:val="26"/>
          <w:lang w:eastAsia="ar-SA"/>
        </w:rPr>
      </w:pPr>
    </w:p>
    <w:p w:rsidR="007879BF" w:rsidRPr="007879BF" w:rsidRDefault="007879BF" w:rsidP="007879BF">
      <w:pPr>
        <w:suppressAutoHyphens/>
        <w:jc w:val="both"/>
        <w:rPr>
          <w:rFonts w:eastAsia="Arial"/>
          <w:b/>
          <w:kern w:val="1"/>
          <w:sz w:val="26"/>
          <w:szCs w:val="26"/>
          <w:lang w:eastAsia="ar-SA"/>
        </w:rPr>
      </w:pPr>
    </w:p>
    <w:p w:rsidR="007879BF" w:rsidRPr="007879BF" w:rsidRDefault="007879BF" w:rsidP="007879BF">
      <w:pPr>
        <w:suppressAutoHyphens/>
        <w:ind w:firstLine="567"/>
        <w:jc w:val="center"/>
        <w:rPr>
          <w:rFonts w:eastAsia="Arial"/>
          <w:b/>
          <w:kern w:val="1"/>
          <w:sz w:val="22"/>
          <w:szCs w:val="22"/>
          <w:lang w:eastAsia="ar-SA"/>
        </w:rPr>
      </w:pPr>
      <w:r w:rsidRPr="007879BF">
        <w:rPr>
          <w:rFonts w:eastAsia="Arial"/>
          <w:b/>
          <w:kern w:val="1"/>
          <w:sz w:val="22"/>
          <w:szCs w:val="22"/>
          <w:lang w:eastAsia="ar-SA"/>
        </w:rPr>
        <w:t xml:space="preserve">СПЕЦИФИКАЦИЯ </w:t>
      </w:r>
    </w:p>
    <w:p w:rsidR="007879BF" w:rsidRPr="007879BF" w:rsidRDefault="007879BF" w:rsidP="007879BF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623"/>
        <w:gridCol w:w="1958"/>
        <w:gridCol w:w="4346"/>
      </w:tblGrid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Наименование товара, работы, услуги, ОКПД 2/ </w:t>
            </w:r>
          </w:p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КТРУ/КОЗ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Описание объекта закупки, включая перечень сведений для определения идентичности или однородности товара</w:t>
            </w:r>
          </w:p>
        </w:tc>
      </w:tr>
      <w:tr w:rsidR="007879BF" w:rsidRPr="007879BF" w:rsidTr="00983C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01.28.17.01.01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аналоговый заушный сверхмощный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17-01-01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90: не более 140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ниже 75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усиления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983C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01.28.17.01.02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Слуховой аппарат аналоговый заушный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17-01-02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Максимальный ВУЗД 90: не менее 130 дБ.</w:t>
            </w:r>
          </w:p>
          <w:p w:rsidR="007879BF" w:rsidRPr="007879BF" w:rsidRDefault="007879BF" w:rsidP="007879BF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Максимальное усиление: не менее 68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Телефонная катушка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7879BF" w:rsidRPr="007879BF" w:rsidRDefault="007879BF" w:rsidP="007879BF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Гарантия не менее 12 месяцев.</w:t>
            </w:r>
          </w:p>
        </w:tc>
      </w:tr>
      <w:tr w:rsidR="007879BF" w:rsidRPr="007879BF" w:rsidTr="00983C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01.28.17.01.03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аналоговый заушный средней мощности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17-01-03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Максимальный ВУЗД 90: не более 130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менее 52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Диапазон частот не уже 300-4500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Регулятор тембра низких частот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983C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lastRenderedPageBreak/>
              <w:t>4.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01.28.17.01.05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Цифровой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заушный сверхмощный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17-01-05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138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80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100- 4700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шумоподавление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система микрофонов с возможностью адаптивной направленности;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определение и классификация окружающих акустических обстановок; 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дневник регистрации данных о режимах    работы слухового аппарата.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  Гарантия не менее 12 месяцев.</w:t>
            </w:r>
          </w:p>
        </w:tc>
      </w:tr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lastRenderedPageBreak/>
              <w:t>5.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01.28.17.01.06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мощный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17-01-06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70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100- 6000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шумоподавление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самообучение пользовательским настройкам громкости;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слухового аппарата;</w:t>
            </w:r>
          </w:p>
          <w:p w:rsidR="007879BF" w:rsidRPr="007879BF" w:rsidRDefault="007879BF" w:rsidP="007879BF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6.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01.28.17.01.07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цифровой заушный средней мощности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17-01-07</w:t>
            </w:r>
          </w:p>
        </w:tc>
        <w:tc>
          <w:tcPr>
            <w:tcW w:w="4384" w:type="dxa"/>
            <w:shd w:val="clear" w:color="auto" w:fill="auto"/>
          </w:tcPr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Максимальный ВУЗД 90: не менее 128 дБ.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более 66 дБ.</w:t>
            </w:r>
          </w:p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(диапазон воспроизводимых частот): не уже 110- 6500 Гц.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Количество пользовательских акустических программ: не менее 3.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шумоподавление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слуховых аппаратов.</w:t>
            </w:r>
          </w:p>
          <w:p w:rsidR="007879BF" w:rsidRPr="007879BF" w:rsidRDefault="007879BF" w:rsidP="007879BF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zh-CN"/>
              </w:rPr>
              <w:t>Гарантия не менее 12 месяцев.</w:t>
            </w:r>
          </w:p>
        </w:tc>
      </w:tr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7.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01.28.17.01.10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highlight w:val="yellow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карманный 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17-01-10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 – не менее 140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 - не менее 80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3,3 кГц.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  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Регулятор тембра низких частот – наличие.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Регулятор АРУ – наличие.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Оперативный регулятор усиления – наличие.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Индукционная катушка – наличие.  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Костный телефон (наличие).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01.28.17.01.09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карманный супермощный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17-01-09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Максимальный ВУЗД 90 – не менее 145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Максимальное акустическое усиление - не менее 87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3,5 кГц.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АРУ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Оперативный регулятор усиления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Индукционная катушка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Костный телефон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- 12 месяцев.</w:t>
            </w:r>
          </w:p>
        </w:tc>
      </w:tr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9.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Аппарат слуховой </w:t>
            </w:r>
            <w:proofErr w:type="spellStart"/>
            <w:r w:rsidRPr="007879BF">
              <w:rPr>
                <w:rFonts w:eastAsia="Calibri"/>
                <w:sz w:val="23"/>
                <w:szCs w:val="23"/>
                <w:lang w:eastAsia="en-US"/>
              </w:rPr>
              <w:t>внутриушной</w:t>
            </w:r>
            <w:proofErr w:type="spellEnd"/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01.28.17.01.12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Слуховой аппарат цифровой </w:t>
            </w:r>
            <w:proofErr w:type="spellStart"/>
            <w:r w:rsidRPr="007879BF">
              <w:rPr>
                <w:rFonts w:eastAsia="Calibri"/>
                <w:sz w:val="23"/>
                <w:szCs w:val="23"/>
                <w:lang w:eastAsia="en-US"/>
              </w:rPr>
              <w:t>внутриушной</w:t>
            </w:r>
            <w:proofErr w:type="spellEnd"/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17-01-12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Максимальный ВУЗД 90: не менее 126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7879BF">
              <w:rPr>
                <w:sz w:val="23"/>
                <w:szCs w:val="23"/>
                <w:lang w:eastAsia="ar-SA"/>
              </w:rPr>
              <w:t>дБ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Максимальное акустическое усиление: не более 65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7879BF">
              <w:rPr>
                <w:sz w:val="23"/>
                <w:szCs w:val="23"/>
                <w:lang w:eastAsia="ar-SA"/>
              </w:rPr>
              <w:t>дБ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Частотный диапазон (диапазон воспроизводимых частот): 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нижняя граница диапазона частот не более 100 Гц, 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верхняя граница диапазона не менее 6000 Гц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не менее 15 каналов цифровой обработки звука или </w:t>
            </w:r>
            <w:proofErr w:type="spellStart"/>
            <w:r w:rsidRPr="007879BF">
              <w:rPr>
                <w:color w:val="000000"/>
                <w:sz w:val="23"/>
                <w:szCs w:val="23"/>
                <w:lang w:eastAsia="en-US"/>
              </w:rPr>
              <w:t>бесканальный</w:t>
            </w:r>
            <w:proofErr w:type="spellEnd"/>
            <w:r w:rsidRPr="007879BF">
              <w:rPr>
                <w:color w:val="000000"/>
                <w:sz w:val="23"/>
                <w:szCs w:val="23"/>
                <w:lang w:eastAsia="en-US"/>
              </w:rPr>
              <w:t>;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Количество пользовательских акустических программ: не менее 4</w:t>
            </w:r>
          </w:p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widowControl w:val="0"/>
              <w:tabs>
                <w:tab w:val="left" w:pos="226"/>
                <w:tab w:val="left" w:pos="290"/>
              </w:tabs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- дневник регистрации данных о режимах работы слухового аппарата.</w:t>
            </w:r>
          </w:p>
          <w:p w:rsidR="007879BF" w:rsidRPr="007879BF" w:rsidRDefault="007879BF" w:rsidP="007879BF">
            <w:pPr>
              <w:widowControl w:val="0"/>
              <w:tabs>
                <w:tab w:val="left" w:pos="226"/>
                <w:tab w:val="left" w:pos="290"/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- звуковая индикация переключения программ и разрядки батарейки;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- 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</w:t>
            </w:r>
            <w:proofErr w:type="spellStart"/>
            <w:r w:rsidRPr="007879BF">
              <w:rPr>
                <w:sz w:val="23"/>
                <w:szCs w:val="23"/>
                <w:lang w:eastAsia="ar-SA"/>
              </w:rPr>
              <w:t>слухопротезировании</w:t>
            </w:r>
            <w:proofErr w:type="spellEnd"/>
            <w:r w:rsidRPr="007879BF">
              <w:rPr>
                <w:sz w:val="23"/>
                <w:szCs w:val="23"/>
                <w:lang w:eastAsia="ar-SA"/>
              </w:rPr>
              <w:t>.</w:t>
            </w:r>
          </w:p>
        </w:tc>
      </w:tr>
      <w:tr w:rsidR="007879BF" w:rsidRPr="007879BF" w:rsidTr="00983C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10.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Аппарат слуховой </w:t>
            </w:r>
            <w:proofErr w:type="spellStart"/>
            <w:r w:rsidRPr="007879BF">
              <w:rPr>
                <w:rFonts w:eastAsia="Calibri"/>
                <w:sz w:val="23"/>
                <w:szCs w:val="23"/>
                <w:lang w:eastAsia="en-US"/>
              </w:rPr>
              <w:t>внутриушной</w:t>
            </w:r>
            <w:proofErr w:type="spellEnd"/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01.28.17.01.13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Слуховой аппарат цифровой </w:t>
            </w:r>
            <w:proofErr w:type="spellStart"/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внутриушной</w:t>
            </w:r>
            <w:proofErr w:type="spellEnd"/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средней мощности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17-01-13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lastRenderedPageBreak/>
              <w:t xml:space="preserve">Максимальный ВУЗД 90: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не менее 109 </w:t>
            </w:r>
            <w:r w:rsidRPr="007879BF">
              <w:rPr>
                <w:sz w:val="23"/>
                <w:szCs w:val="23"/>
                <w:lang w:eastAsia="ar-SA"/>
              </w:rPr>
              <w:t xml:space="preserve">дБ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lastRenderedPageBreak/>
              <w:t xml:space="preserve">Максимальное акустическое усиление: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не менее 40 </w:t>
            </w:r>
            <w:r w:rsidRPr="007879BF">
              <w:rPr>
                <w:sz w:val="23"/>
                <w:szCs w:val="23"/>
                <w:lang w:eastAsia="ar-SA"/>
              </w:rPr>
              <w:t xml:space="preserve">дБ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Частотный диапазон (диапазон воспроизводимых частот): нижняя граница диапазона частот не более 100 Гц, верхняя граница диапазона не менее 6000 Гц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не менее 15 каналов цифровой обработки звука или </w:t>
            </w:r>
            <w:proofErr w:type="spellStart"/>
            <w:r w:rsidRPr="007879BF">
              <w:rPr>
                <w:color w:val="000000"/>
                <w:sz w:val="23"/>
                <w:szCs w:val="23"/>
                <w:lang w:eastAsia="en-US"/>
              </w:rPr>
              <w:t>бесканальный</w:t>
            </w:r>
            <w:proofErr w:type="spellEnd"/>
            <w:r w:rsidRPr="007879BF">
              <w:rPr>
                <w:sz w:val="23"/>
                <w:szCs w:val="23"/>
                <w:lang w:eastAsia="ar-SA"/>
              </w:rPr>
              <w:t xml:space="preserve">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Количество пользовательских акустических программ: не менее 3 </w:t>
            </w:r>
          </w:p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дневник регистрации данных о режимах работы слухового аппарата.</w:t>
            </w:r>
          </w:p>
          <w:p w:rsidR="007879BF" w:rsidRPr="007879BF" w:rsidRDefault="007879BF" w:rsidP="007879BF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звуковая индикация переключения программ;</w:t>
            </w:r>
          </w:p>
          <w:p w:rsidR="007879BF" w:rsidRPr="007879BF" w:rsidRDefault="007879BF" w:rsidP="007879BF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звуковая индикация разряда источника питания.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</w:t>
            </w:r>
            <w:proofErr w:type="spellStart"/>
            <w:r w:rsidRPr="007879BF">
              <w:rPr>
                <w:sz w:val="23"/>
                <w:szCs w:val="23"/>
                <w:lang w:eastAsia="ar-SA"/>
              </w:rPr>
              <w:t>слухопротезировании</w:t>
            </w:r>
            <w:proofErr w:type="spellEnd"/>
            <w:r w:rsidRPr="007879BF">
              <w:rPr>
                <w:sz w:val="23"/>
                <w:szCs w:val="23"/>
                <w:lang w:eastAsia="ar-SA"/>
              </w:rPr>
              <w:t>.</w:t>
            </w:r>
          </w:p>
        </w:tc>
      </w:tr>
    </w:tbl>
    <w:p w:rsidR="007879BF" w:rsidRPr="007879BF" w:rsidRDefault="007879BF" w:rsidP="007879BF">
      <w:pPr>
        <w:tabs>
          <w:tab w:val="left" w:pos="2640"/>
        </w:tabs>
        <w:spacing w:after="200"/>
        <w:contextualSpacing/>
        <w:rPr>
          <w:rFonts w:eastAsia="Calibri"/>
          <w:b/>
          <w:color w:val="000000"/>
          <w:spacing w:val="-4"/>
          <w:sz w:val="23"/>
          <w:szCs w:val="23"/>
          <w:lang w:eastAsia="en-US"/>
        </w:rPr>
      </w:pPr>
    </w:p>
    <w:p w:rsidR="00196A86" w:rsidRPr="00436DA3" w:rsidRDefault="00196A86" w:rsidP="00EE76F7">
      <w:pPr>
        <w:pStyle w:val="aff4"/>
      </w:pPr>
      <w:bookmarkStart w:id="0" w:name="_GoBack"/>
      <w:bookmarkEnd w:id="0"/>
    </w:p>
    <w:sectPr w:rsidR="00196A86" w:rsidRPr="00436DA3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0C" w:rsidRDefault="00BC770C">
      <w:r>
        <w:separator/>
      </w:r>
    </w:p>
  </w:endnote>
  <w:endnote w:type="continuationSeparator" w:id="0">
    <w:p w:rsidR="00BC770C" w:rsidRDefault="00BC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0C" w:rsidRDefault="00BC770C">
      <w:r>
        <w:separator/>
      </w:r>
    </w:p>
  </w:footnote>
  <w:footnote w:type="continuationSeparator" w:id="0">
    <w:p w:rsidR="00BC770C" w:rsidRDefault="00BC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C4FB1">
      <w:rPr>
        <w:noProof/>
      </w:rPr>
      <w:t>9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000017"/>
    <w:multiLevelType w:val="singleLevel"/>
    <w:tmpl w:val="00000017"/>
    <w:name w:val="WW8Num45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</w:abstractNum>
  <w:abstractNum w:abstractNumId="3">
    <w:nsid w:val="15BB512F"/>
    <w:multiLevelType w:val="hybridMultilevel"/>
    <w:tmpl w:val="8288365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36E"/>
    <w:multiLevelType w:val="hybridMultilevel"/>
    <w:tmpl w:val="B25AD8E2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E75DC"/>
    <w:multiLevelType w:val="hybridMultilevel"/>
    <w:tmpl w:val="99A82EA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4D14"/>
    <w:multiLevelType w:val="hybridMultilevel"/>
    <w:tmpl w:val="89F60246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6">
    <w:nsid w:val="6FC056DC"/>
    <w:multiLevelType w:val="multilevel"/>
    <w:tmpl w:val="F412060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B7A36"/>
    <w:multiLevelType w:val="hybridMultilevel"/>
    <w:tmpl w:val="AAA4CB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1555E"/>
    <w:multiLevelType w:val="hybridMultilevel"/>
    <w:tmpl w:val="882A2CB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2"/>
  </w:num>
  <w:num w:numId="21">
    <w:abstractNumId w:val="4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979"/>
    <w:rsid w:val="0001665B"/>
    <w:rsid w:val="00021EC3"/>
    <w:rsid w:val="000238EF"/>
    <w:rsid w:val="00025482"/>
    <w:rsid w:val="00026A6F"/>
    <w:rsid w:val="000271E4"/>
    <w:rsid w:val="00033538"/>
    <w:rsid w:val="00033AE7"/>
    <w:rsid w:val="00035CBC"/>
    <w:rsid w:val="00037596"/>
    <w:rsid w:val="00043166"/>
    <w:rsid w:val="00044AF3"/>
    <w:rsid w:val="00055085"/>
    <w:rsid w:val="000619C6"/>
    <w:rsid w:val="00062C9C"/>
    <w:rsid w:val="00066BC2"/>
    <w:rsid w:val="000737AC"/>
    <w:rsid w:val="0007523A"/>
    <w:rsid w:val="00075AE9"/>
    <w:rsid w:val="000761BC"/>
    <w:rsid w:val="00077349"/>
    <w:rsid w:val="00081D8E"/>
    <w:rsid w:val="00082D4B"/>
    <w:rsid w:val="000843FF"/>
    <w:rsid w:val="0008545D"/>
    <w:rsid w:val="00086853"/>
    <w:rsid w:val="00091224"/>
    <w:rsid w:val="00091B53"/>
    <w:rsid w:val="00092017"/>
    <w:rsid w:val="000941A2"/>
    <w:rsid w:val="000A1649"/>
    <w:rsid w:val="000A2CBD"/>
    <w:rsid w:val="000A3669"/>
    <w:rsid w:val="000A47EB"/>
    <w:rsid w:val="000A70E5"/>
    <w:rsid w:val="000B4A5D"/>
    <w:rsid w:val="000B6DC5"/>
    <w:rsid w:val="000C0D23"/>
    <w:rsid w:val="000D17EE"/>
    <w:rsid w:val="000D3632"/>
    <w:rsid w:val="000E5849"/>
    <w:rsid w:val="000E5870"/>
    <w:rsid w:val="000F03B6"/>
    <w:rsid w:val="000F2314"/>
    <w:rsid w:val="000F72F3"/>
    <w:rsid w:val="000F7BE4"/>
    <w:rsid w:val="00101275"/>
    <w:rsid w:val="00105D36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2FDE"/>
    <w:rsid w:val="00126F0B"/>
    <w:rsid w:val="00133E53"/>
    <w:rsid w:val="00145D2C"/>
    <w:rsid w:val="00146F9F"/>
    <w:rsid w:val="001549D2"/>
    <w:rsid w:val="00157E1D"/>
    <w:rsid w:val="001624B6"/>
    <w:rsid w:val="00166129"/>
    <w:rsid w:val="00170B6E"/>
    <w:rsid w:val="00174082"/>
    <w:rsid w:val="001762B4"/>
    <w:rsid w:val="00181E0B"/>
    <w:rsid w:val="0018680F"/>
    <w:rsid w:val="0018759C"/>
    <w:rsid w:val="00195C07"/>
    <w:rsid w:val="00196A86"/>
    <w:rsid w:val="00197699"/>
    <w:rsid w:val="001A155B"/>
    <w:rsid w:val="001A3142"/>
    <w:rsid w:val="001A7088"/>
    <w:rsid w:val="001A7F34"/>
    <w:rsid w:val="001B3B3A"/>
    <w:rsid w:val="001B5504"/>
    <w:rsid w:val="001B606B"/>
    <w:rsid w:val="001B64E2"/>
    <w:rsid w:val="001C1931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E24"/>
    <w:rsid w:val="001F656F"/>
    <w:rsid w:val="002021A3"/>
    <w:rsid w:val="00204DA7"/>
    <w:rsid w:val="00207364"/>
    <w:rsid w:val="002104DF"/>
    <w:rsid w:val="002260C7"/>
    <w:rsid w:val="00231193"/>
    <w:rsid w:val="00231FD2"/>
    <w:rsid w:val="00232A5F"/>
    <w:rsid w:val="00232D9B"/>
    <w:rsid w:val="0024106C"/>
    <w:rsid w:val="00241182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4420"/>
    <w:rsid w:val="002748D5"/>
    <w:rsid w:val="002749FF"/>
    <w:rsid w:val="00276D07"/>
    <w:rsid w:val="002837F4"/>
    <w:rsid w:val="00283A29"/>
    <w:rsid w:val="00283B28"/>
    <w:rsid w:val="00286C74"/>
    <w:rsid w:val="00290BD9"/>
    <w:rsid w:val="00294A8D"/>
    <w:rsid w:val="002968E2"/>
    <w:rsid w:val="002A6345"/>
    <w:rsid w:val="002B7437"/>
    <w:rsid w:val="002C0226"/>
    <w:rsid w:val="002C4DF6"/>
    <w:rsid w:val="002C5647"/>
    <w:rsid w:val="002D0C58"/>
    <w:rsid w:val="002D0D0E"/>
    <w:rsid w:val="002D13E2"/>
    <w:rsid w:val="002E01C1"/>
    <w:rsid w:val="002E3E85"/>
    <w:rsid w:val="002E67F6"/>
    <w:rsid w:val="002E7E00"/>
    <w:rsid w:val="002F179F"/>
    <w:rsid w:val="002F220F"/>
    <w:rsid w:val="002F2809"/>
    <w:rsid w:val="002F3488"/>
    <w:rsid w:val="002F3EB6"/>
    <w:rsid w:val="002F56D7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56D7"/>
    <w:rsid w:val="00331DE3"/>
    <w:rsid w:val="003331CF"/>
    <w:rsid w:val="003376F8"/>
    <w:rsid w:val="0033789A"/>
    <w:rsid w:val="00342A94"/>
    <w:rsid w:val="003472C0"/>
    <w:rsid w:val="003476E5"/>
    <w:rsid w:val="0036069B"/>
    <w:rsid w:val="00362482"/>
    <w:rsid w:val="0036314F"/>
    <w:rsid w:val="00363B46"/>
    <w:rsid w:val="0036681B"/>
    <w:rsid w:val="00371A0E"/>
    <w:rsid w:val="00373623"/>
    <w:rsid w:val="00373E0A"/>
    <w:rsid w:val="00374B9E"/>
    <w:rsid w:val="003754C2"/>
    <w:rsid w:val="003759BE"/>
    <w:rsid w:val="0037650B"/>
    <w:rsid w:val="00376737"/>
    <w:rsid w:val="00380887"/>
    <w:rsid w:val="003857F8"/>
    <w:rsid w:val="0038675D"/>
    <w:rsid w:val="00390350"/>
    <w:rsid w:val="00394368"/>
    <w:rsid w:val="003977F0"/>
    <w:rsid w:val="003B0AB1"/>
    <w:rsid w:val="003B73C1"/>
    <w:rsid w:val="003B7E9A"/>
    <w:rsid w:val="003C0D7E"/>
    <w:rsid w:val="003C67DB"/>
    <w:rsid w:val="003D4A2D"/>
    <w:rsid w:val="003D67AE"/>
    <w:rsid w:val="003D75B4"/>
    <w:rsid w:val="003E6B46"/>
    <w:rsid w:val="003F07F7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153"/>
    <w:rsid w:val="00425C10"/>
    <w:rsid w:val="00430899"/>
    <w:rsid w:val="00433E07"/>
    <w:rsid w:val="00434DFE"/>
    <w:rsid w:val="004361F5"/>
    <w:rsid w:val="00436DA3"/>
    <w:rsid w:val="004416AF"/>
    <w:rsid w:val="00442B0D"/>
    <w:rsid w:val="00445D6A"/>
    <w:rsid w:val="00451F29"/>
    <w:rsid w:val="004523B4"/>
    <w:rsid w:val="0045454D"/>
    <w:rsid w:val="00455842"/>
    <w:rsid w:val="00455A9C"/>
    <w:rsid w:val="0046782F"/>
    <w:rsid w:val="004706BE"/>
    <w:rsid w:val="00471160"/>
    <w:rsid w:val="00491B26"/>
    <w:rsid w:val="00494D36"/>
    <w:rsid w:val="00497D33"/>
    <w:rsid w:val="004A0820"/>
    <w:rsid w:val="004A0AEC"/>
    <w:rsid w:val="004A24CE"/>
    <w:rsid w:val="004B0ABB"/>
    <w:rsid w:val="004B101F"/>
    <w:rsid w:val="004B1B72"/>
    <w:rsid w:val="004B4404"/>
    <w:rsid w:val="004B58AF"/>
    <w:rsid w:val="004B6708"/>
    <w:rsid w:val="004B7330"/>
    <w:rsid w:val="004C24DE"/>
    <w:rsid w:val="004D4CA9"/>
    <w:rsid w:val="004D5487"/>
    <w:rsid w:val="004D6B25"/>
    <w:rsid w:val="004E45B2"/>
    <w:rsid w:val="004E6A1A"/>
    <w:rsid w:val="004F15A0"/>
    <w:rsid w:val="004F4EC4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60166"/>
    <w:rsid w:val="005624F9"/>
    <w:rsid w:val="00573A7E"/>
    <w:rsid w:val="005741BF"/>
    <w:rsid w:val="00575B13"/>
    <w:rsid w:val="005801FC"/>
    <w:rsid w:val="005834D0"/>
    <w:rsid w:val="00583E04"/>
    <w:rsid w:val="00586C4B"/>
    <w:rsid w:val="00587742"/>
    <w:rsid w:val="0059736E"/>
    <w:rsid w:val="005A20CC"/>
    <w:rsid w:val="005A24C5"/>
    <w:rsid w:val="005A2656"/>
    <w:rsid w:val="005A2759"/>
    <w:rsid w:val="005A4F24"/>
    <w:rsid w:val="005B1526"/>
    <w:rsid w:val="005B1B03"/>
    <w:rsid w:val="005C6648"/>
    <w:rsid w:val="005D10F9"/>
    <w:rsid w:val="005D4796"/>
    <w:rsid w:val="005D6A8E"/>
    <w:rsid w:val="005E101C"/>
    <w:rsid w:val="005E22E5"/>
    <w:rsid w:val="005E3A1F"/>
    <w:rsid w:val="005F0527"/>
    <w:rsid w:val="005F05A5"/>
    <w:rsid w:val="005F3207"/>
    <w:rsid w:val="005F5A14"/>
    <w:rsid w:val="005F61DE"/>
    <w:rsid w:val="006067A7"/>
    <w:rsid w:val="00607766"/>
    <w:rsid w:val="00610103"/>
    <w:rsid w:val="0061269D"/>
    <w:rsid w:val="00614D04"/>
    <w:rsid w:val="00624475"/>
    <w:rsid w:val="0062585C"/>
    <w:rsid w:val="0062793E"/>
    <w:rsid w:val="006348C0"/>
    <w:rsid w:val="00635316"/>
    <w:rsid w:val="00641313"/>
    <w:rsid w:val="00645717"/>
    <w:rsid w:val="00646324"/>
    <w:rsid w:val="00655395"/>
    <w:rsid w:val="00656136"/>
    <w:rsid w:val="00656720"/>
    <w:rsid w:val="00657695"/>
    <w:rsid w:val="00660FA3"/>
    <w:rsid w:val="00664F2F"/>
    <w:rsid w:val="006663FC"/>
    <w:rsid w:val="00670A52"/>
    <w:rsid w:val="00670B55"/>
    <w:rsid w:val="00672E31"/>
    <w:rsid w:val="0067523A"/>
    <w:rsid w:val="00680EDD"/>
    <w:rsid w:val="006811E9"/>
    <w:rsid w:val="00683FE2"/>
    <w:rsid w:val="00685E34"/>
    <w:rsid w:val="00686F51"/>
    <w:rsid w:val="00692CB6"/>
    <w:rsid w:val="00695228"/>
    <w:rsid w:val="00695A7B"/>
    <w:rsid w:val="006A08E2"/>
    <w:rsid w:val="006A1413"/>
    <w:rsid w:val="006A14C5"/>
    <w:rsid w:val="006B061C"/>
    <w:rsid w:val="006B12AA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33F1"/>
    <w:rsid w:val="006E7AC8"/>
    <w:rsid w:val="006F3382"/>
    <w:rsid w:val="006F3C5B"/>
    <w:rsid w:val="006F4D26"/>
    <w:rsid w:val="006F705F"/>
    <w:rsid w:val="00701789"/>
    <w:rsid w:val="00701AE7"/>
    <w:rsid w:val="00701D14"/>
    <w:rsid w:val="0070247B"/>
    <w:rsid w:val="0070449B"/>
    <w:rsid w:val="0071509C"/>
    <w:rsid w:val="00720603"/>
    <w:rsid w:val="00722BA0"/>
    <w:rsid w:val="00722DB1"/>
    <w:rsid w:val="007238C0"/>
    <w:rsid w:val="007264EE"/>
    <w:rsid w:val="00726ADE"/>
    <w:rsid w:val="0072768B"/>
    <w:rsid w:val="007358AC"/>
    <w:rsid w:val="007371DF"/>
    <w:rsid w:val="00737C16"/>
    <w:rsid w:val="00737C96"/>
    <w:rsid w:val="00737F1A"/>
    <w:rsid w:val="00747F53"/>
    <w:rsid w:val="007533B3"/>
    <w:rsid w:val="00756795"/>
    <w:rsid w:val="00756B0C"/>
    <w:rsid w:val="00764050"/>
    <w:rsid w:val="00771965"/>
    <w:rsid w:val="00773688"/>
    <w:rsid w:val="00776583"/>
    <w:rsid w:val="00785B85"/>
    <w:rsid w:val="00786402"/>
    <w:rsid w:val="00786CBB"/>
    <w:rsid w:val="007879BF"/>
    <w:rsid w:val="00791CA6"/>
    <w:rsid w:val="00794C30"/>
    <w:rsid w:val="00794F9F"/>
    <w:rsid w:val="007A1452"/>
    <w:rsid w:val="007A5027"/>
    <w:rsid w:val="007A661A"/>
    <w:rsid w:val="007A7227"/>
    <w:rsid w:val="007B08C3"/>
    <w:rsid w:val="007B4AEB"/>
    <w:rsid w:val="007C3E09"/>
    <w:rsid w:val="007C4149"/>
    <w:rsid w:val="007C5BC2"/>
    <w:rsid w:val="007C60BE"/>
    <w:rsid w:val="007D5A19"/>
    <w:rsid w:val="007D6423"/>
    <w:rsid w:val="007D6CAB"/>
    <w:rsid w:val="007D7396"/>
    <w:rsid w:val="007D782C"/>
    <w:rsid w:val="007E3522"/>
    <w:rsid w:val="007E4D71"/>
    <w:rsid w:val="007F1E16"/>
    <w:rsid w:val="007F447E"/>
    <w:rsid w:val="007F7991"/>
    <w:rsid w:val="008005CE"/>
    <w:rsid w:val="00800BAF"/>
    <w:rsid w:val="008019ED"/>
    <w:rsid w:val="0080324E"/>
    <w:rsid w:val="00803D43"/>
    <w:rsid w:val="00806242"/>
    <w:rsid w:val="00807122"/>
    <w:rsid w:val="0081491D"/>
    <w:rsid w:val="00815B67"/>
    <w:rsid w:val="00815BD6"/>
    <w:rsid w:val="00821671"/>
    <w:rsid w:val="0082174C"/>
    <w:rsid w:val="00821B39"/>
    <w:rsid w:val="008259D6"/>
    <w:rsid w:val="00830FDC"/>
    <w:rsid w:val="00835AC1"/>
    <w:rsid w:val="008369F9"/>
    <w:rsid w:val="00840C7D"/>
    <w:rsid w:val="008430B8"/>
    <w:rsid w:val="0085379D"/>
    <w:rsid w:val="008604B4"/>
    <w:rsid w:val="00862C9E"/>
    <w:rsid w:val="00867581"/>
    <w:rsid w:val="00870395"/>
    <w:rsid w:val="00872396"/>
    <w:rsid w:val="00874CCF"/>
    <w:rsid w:val="00874DC0"/>
    <w:rsid w:val="008754F4"/>
    <w:rsid w:val="00875B59"/>
    <w:rsid w:val="00875EE1"/>
    <w:rsid w:val="00883EB6"/>
    <w:rsid w:val="0089014F"/>
    <w:rsid w:val="00891BA9"/>
    <w:rsid w:val="00895039"/>
    <w:rsid w:val="008A231E"/>
    <w:rsid w:val="008A56CD"/>
    <w:rsid w:val="008B151D"/>
    <w:rsid w:val="008B719E"/>
    <w:rsid w:val="008D2D8D"/>
    <w:rsid w:val="008D3A51"/>
    <w:rsid w:val="008D6C3E"/>
    <w:rsid w:val="008D76D0"/>
    <w:rsid w:val="008E1B7F"/>
    <w:rsid w:val="008E3ACF"/>
    <w:rsid w:val="008E67F7"/>
    <w:rsid w:val="008F1818"/>
    <w:rsid w:val="008F2EE5"/>
    <w:rsid w:val="008F5685"/>
    <w:rsid w:val="008F64DF"/>
    <w:rsid w:val="00900914"/>
    <w:rsid w:val="00903B63"/>
    <w:rsid w:val="009062D3"/>
    <w:rsid w:val="00906A69"/>
    <w:rsid w:val="009078A1"/>
    <w:rsid w:val="00912D08"/>
    <w:rsid w:val="009134AA"/>
    <w:rsid w:val="00922711"/>
    <w:rsid w:val="00923164"/>
    <w:rsid w:val="0092584F"/>
    <w:rsid w:val="00932784"/>
    <w:rsid w:val="00943427"/>
    <w:rsid w:val="009466CA"/>
    <w:rsid w:val="00955C4B"/>
    <w:rsid w:val="00961F77"/>
    <w:rsid w:val="00962D32"/>
    <w:rsid w:val="00962DCA"/>
    <w:rsid w:val="00962FED"/>
    <w:rsid w:val="00967827"/>
    <w:rsid w:val="00984357"/>
    <w:rsid w:val="009861CC"/>
    <w:rsid w:val="009915F7"/>
    <w:rsid w:val="0099363B"/>
    <w:rsid w:val="0099597B"/>
    <w:rsid w:val="009969D1"/>
    <w:rsid w:val="009A78F6"/>
    <w:rsid w:val="009B1518"/>
    <w:rsid w:val="009B68F1"/>
    <w:rsid w:val="009C12AC"/>
    <w:rsid w:val="009D1924"/>
    <w:rsid w:val="009D19A5"/>
    <w:rsid w:val="009D78AE"/>
    <w:rsid w:val="009E08A3"/>
    <w:rsid w:val="009F0283"/>
    <w:rsid w:val="009F0D10"/>
    <w:rsid w:val="009F35DE"/>
    <w:rsid w:val="00A03F4B"/>
    <w:rsid w:val="00A053FF"/>
    <w:rsid w:val="00A07293"/>
    <w:rsid w:val="00A1593D"/>
    <w:rsid w:val="00A159D9"/>
    <w:rsid w:val="00A24D81"/>
    <w:rsid w:val="00A251D1"/>
    <w:rsid w:val="00A30294"/>
    <w:rsid w:val="00A35106"/>
    <w:rsid w:val="00A5151E"/>
    <w:rsid w:val="00A53DB1"/>
    <w:rsid w:val="00A53FA1"/>
    <w:rsid w:val="00A603B6"/>
    <w:rsid w:val="00A65733"/>
    <w:rsid w:val="00A67A6F"/>
    <w:rsid w:val="00A67EDE"/>
    <w:rsid w:val="00A721D1"/>
    <w:rsid w:val="00A763CE"/>
    <w:rsid w:val="00A775C2"/>
    <w:rsid w:val="00A808DB"/>
    <w:rsid w:val="00A814E7"/>
    <w:rsid w:val="00A81963"/>
    <w:rsid w:val="00A84EC9"/>
    <w:rsid w:val="00A92CD0"/>
    <w:rsid w:val="00A93616"/>
    <w:rsid w:val="00A936C4"/>
    <w:rsid w:val="00AA5B3E"/>
    <w:rsid w:val="00AA5EE1"/>
    <w:rsid w:val="00AB099E"/>
    <w:rsid w:val="00AB0F96"/>
    <w:rsid w:val="00AB652E"/>
    <w:rsid w:val="00AC2099"/>
    <w:rsid w:val="00AC5277"/>
    <w:rsid w:val="00AD1623"/>
    <w:rsid w:val="00AD25F1"/>
    <w:rsid w:val="00AD2615"/>
    <w:rsid w:val="00AD49EB"/>
    <w:rsid w:val="00AD55F1"/>
    <w:rsid w:val="00AD5859"/>
    <w:rsid w:val="00AD6E3F"/>
    <w:rsid w:val="00AD7DD4"/>
    <w:rsid w:val="00AE4310"/>
    <w:rsid w:val="00AF1B7D"/>
    <w:rsid w:val="00AF64BF"/>
    <w:rsid w:val="00AF6D33"/>
    <w:rsid w:val="00AF6FC6"/>
    <w:rsid w:val="00B015AC"/>
    <w:rsid w:val="00B0414F"/>
    <w:rsid w:val="00B05E0B"/>
    <w:rsid w:val="00B0748E"/>
    <w:rsid w:val="00B07C4F"/>
    <w:rsid w:val="00B07C9F"/>
    <w:rsid w:val="00B10713"/>
    <w:rsid w:val="00B1080A"/>
    <w:rsid w:val="00B1445A"/>
    <w:rsid w:val="00B20A30"/>
    <w:rsid w:val="00B30859"/>
    <w:rsid w:val="00B338CF"/>
    <w:rsid w:val="00B41867"/>
    <w:rsid w:val="00B4512C"/>
    <w:rsid w:val="00B52019"/>
    <w:rsid w:val="00B520D8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12ED"/>
    <w:rsid w:val="00B93157"/>
    <w:rsid w:val="00BA327A"/>
    <w:rsid w:val="00BA5141"/>
    <w:rsid w:val="00BB0C38"/>
    <w:rsid w:val="00BB1F4A"/>
    <w:rsid w:val="00BB349E"/>
    <w:rsid w:val="00BB3E52"/>
    <w:rsid w:val="00BB5328"/>
    <w:rsid w:val="00BC015E"/>
    <w:rsid w:val="00BC1480"/>
    <w:rsid w:val="00BC1B47"/>
    <w:rsid w:val="00BC2EFC"/>
    <w:rsid w:val="00BC770C"/>
    <w:rsid w:val="00BD41FB"/>
    <w:rsid w:val="00BD4243"/>
    <w:rsid w:val="00BE113C"/>
    <w:rsid w:val="00BE4522"/>
    <w:rsid w:val="00BE6309"/>
    <w:rsid w:val="00BF185F"/>
    <w:rsid w:val="00BF28A7"/>
    <w:rsid w:val="00BF496C"/>
    <w:rsid w:val="00BF5197"/>
    <w:rsid w:val="00BF72BB"/>
    <w:rsid w:val="00C007CF"/>
    <w:rsid w:val="00C01A98"/>
    <w:rsid w:val="00C054E2"/>
    <w:rsid w:val="00C13045"/>
    <w:rsid w:val="00C2501D"/>
    <w:rsid w:val="00C26692"/>
    <w:rsid w:val="00C31371"/>
    <w:rsid w:val="00C318FE"/>
    <w:rsid w:val="00C36819"/>
    <w:rsid w:val="00C37D4B"/>
    <w:rsid w:val="00C456C3"/>
    <w:rsid w:val="00C5381F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6611"/>
    <w:rsid w:val="00CB7F9D"/>
    <w:rsid w:val="00CC3E5F"/>
    <w:rsid w:val="00CD1C51"/>
    <w:rsid w:val="00CD3137"/>
    <w:rsid w:val="00CD54D5"/>
    <w:rsid w:val="00CD75D4"/>
    <w:rsid w:val="00CE1780"/>
    <w:rsid w:val="00CE35FE"/>
    <w:rsid w:val="00CF6ECF"/>
    <w:rsid w:val="00CF7A0D"/>
    <w:rsid w:val="00D00119"/>
    <w:rsid w:val="00D0197C"/>
    <w:rsid w:val="00D02415"/>
    <w:rsid w:val="00D0401C"/>
    <w:rsid w:val="00D04DBC"/>
    <w:rsid w:val="00D07919"/>
    <w:rsid w:val="00D1254A"/>
    <w:rsid w:val="00D15D70"/>
    <w:rsid w:val="00D16226"/>
    <w:rsid w:val="00D21655"/>
    <w:rsid w:val="00D21FA9"/>
    <w:rsid w:val="00D225DB"/>
    <w:rsid w:val="00D34943"/>
    <w:rsid w:val="00D4286F"/>
    <w:rsid w:val="00D432B5"/>
    <w:rsid w:val="00D45247"/>
    <w:rsid w:val="00D46A40"/>
    <w:rsid w:val="00D51A83"/>
    <w:rsid w:val="00D534A8"/>
    <w:rsid w:val="00D53878"/>
    <w:rsid w:val="00D53925"/>
    <w:rsid w:val="00D543B2"/>
    <w:rsid w:val="00D56137"/>
    <w:rsid w:val="00D65182"/>
    <w:rsid w:val="00D72CE9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0CA"/>
    <w:rsid w:val="00DB045C"/>
    <w:rsid w:val="00DB15A2"/>
    <w:rsid w:val="00DB2966"/>
    <w:rsid w:val="00DB5837"/>
    <w:rsid w:val="00DC0F6C"/>
    <w:rsid w:val="00DC3968"/>
    <w:rsid w:val="00DD3D28"/>
    <w:rsid w:val="00DD7446"/>
    <w:rsid w:val="00DE14AF"/>
    <w:rsid w:val="00DE24B5"/>
    <w:rsid w:val="00DE25F9"/>
    <w:rsid w:val="00DE26CD"/>
    <w:rsid w:val="00DE3BAD"/>
    <w:rsid w:val="00DF26D8"/>
    <w:rsid w:val="00DF543B"/>
    <w:rsid w:val="00E00DC1"/>
    <w:rsid w:val="00E0545D"/>
    <w:rsid w:val="00E05772"/>
    <w:rsid w:val="00E0668F"/>
    <w:rsid w:val="00E1647E"/>
    <w:rsid w:val="00E16AB9"/>
    <w:rsid w:val="00E21622"/>
    <w:rsid w:val="00E21970"/>
    <w:rsid w:val="00E23B81"/>
    <w:rsid w:val="00E2481A"/>
    <w:rsid w:val="00E267E0"/>
    <w:rsid w:val="00E2702A"/>
    <w:rsid w:val="00E33D85"/>
    <w:rsid w:val="00E36EE4"/>
    <w:rsid w:val="00E37245"/>
    <w:rsid w:val="00E37DDF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3C94"/>
    <w:rsid w:val="00E65D5B"/>
    <w:rsid w:val="00E67B76"/>
    <w:rsid w:val="00E67C0F"/>
    <w:rsid w:val="00E745A9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A1946"/>
    <w:rsid w:val="00EB645B"/>
    <w:rsid w:val="00EC1B43"/>
    <w:rsid w:val="00EC4FB1"/>
    <w:rsid w:val="00EC584C"/>
    <w:rsid w:val="00EC7CCB"/>
    <w:rsid w:val="00ED4749"/>
    <w:rsid w:val="00ED521E"/>
    <w:rsid w:val="00ED74C9"/>
    <w:rsid w:val="00EE6E08"/>
    <w:rsid w:val="00EE76F7"/>
    <w:rsid w:val="00EE79A1"/>
    <w:rsid w:val="00EF4ECF"/>
    <w:rsid w:val="00EF54AD"/>
    <w:rsid w:val="00EF607E"/>
    <w:rsid w:val="00EF6D99"/>
    <w:rsid w:val="00F00A08"/>
    <w:rsid w:val="00F13F79"/>
    <w:rsid w:val="00F15AC0"/>
    <w:rsid w:val="00F17BE0"/>
    <w:rsid w:val="00F201FA"/>
    <w:rsid w:val="00F273AC"/>
    <w:rsid w:val="00F2799B"/>
    <w:rsid w:val="00F33211"/>
    <w:rsid w:val="00F34E68"/>
    <w:rsid w:val="00F35485"/>
    <w:rsid w:val="00F44209"/>
    <w:rsid w:val="00F45F68"/>
    <w:rsid w:val="00F539EE"/>
    <w:rsid w:val="00F55AB0"/>
    <w:rsid w:val="00F56B51"/>
    <w:rsid w:val="00F57460"/>
    <w:rsid w:val="00F674AB"/>
    <w:rsid w:val="00F76760"/>
    <w:rsid w:val="00F821BC"/>
    <w:rsid w:val="00F87C46"/>
    <w:rsid w:val="00F9166B"/>
    <w:rsid w:val="00F92678"/>
    <w:rsid w:val="00F97965"/>
    <w:rsid w:val="00FA1D38"/>
    <w:rsid w:val="00FB46D5"/>
    <w:rsid w:val="00FB5785"/>
    <w:rsid w:val="00FB6C2A"/>
    <w:rsid w:val="00FB7EC5"/>
    <w:rsid w:val="00FC2145"/>
    <w:rsid w:val="00FC402F"/>
    <w:rsid w:val="00FC40FA"/>
    <w:rsid w:val="00FC5B52"/>
    <w:rsid w:val="00FC6CFC"/>
    <w:rsid w:val="00FD7365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BBF74-1687-4CAA-8ED0-4650445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  <w:style w:type="paragraph" w:customStyle="1" w:styleId="19">
    <w:name w:val="Стиль1"/>
    <w:basedOn w:val="a"/>
    <w:uiPriority w:val="99"/>
    <w:rsid w:val="00207364"/>
    <w:pPr>
      <w:keepNext/>
      <w:keepLines/>
      <w:widowControl w:val="0"/>
      <w:suppressLineNumbers/>
      <w:tabs>
        <w:tab w:val="num" w:pos="432"/>
        <w:tab w:val="num" w:pos="576"/>
      </w:tabs>
      <w:suppressAutoHyphens/>
      <w:spacing w:after="60"/>
      <w:ind w:left="432" w:hanging="432"/>
    </w:pPr>
    <w:rPr>
      <w:b/>
      <w:sz w:val="28"/>
    </w:rPr>
  </w:style>
  <w:style w:type="paragraph" w:customStyle="1" w:styleId="1a">
    <w:name w:val="Абзац списка1"/>
    <w:basedOn w:val="a"/>
    <w:rsid w:val="003F07F7"/>
    <w:pPr>
      <w:ind w:left="720"/>
      <w:contextualSpacing/>
      <w:jc w:val="both"/>
    </w:pPr>
    <w:rPr>
      <w:lang w:eastAsia="en-US"/>
    </w:rPr>
  </w:style>
  <w:style w:type="character" w:customStyle="1" w:styleId="25">
    <w:name w:val="Основной текст (2)_"/>
    <w:basedOn w:val="a0"/>
    <w:link w:val="26"/>
    <w:rsid w:val="005E3A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E3A1F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D8C8-9FA9-41D4-846C-243F4F8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18959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Мухамедзянов Артур Вильданович</cp:lastModifiedBy>
  <cp:revision>2</cp:revision>
  <cp:lastPrinted>2019-12-23T08:10:00Z</cp:lastPrinted>
  <dcterms:created xsi:type="dcterms:W3CDTF">2023-11-14T03:51:00Z</dcterms:created>
  <dcterms:modified xsi:type="dcterms:W3CDTF">2023-11-14T03:51:00Z</dcterms:modified>
</cp:coreProperties>
</file>